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7F8E3" w14:textId="77777777" w:rsidR="00AA1941" w:rsidRPr="00922CFF" w:rsidRDefault="00AA1941" w:rsidP="00E71245">
      <w:pPr>
        <w:jc w:val="both"/>
        <w:rPr>
          <w:rFonts w:cstheme="minorHAnsi"/>
          <w:sz w:val="24"/>
        </w:rPr>
      </w:pPr>
    </w:p>
    <w:p w14:paraId="4413D316" w14:textId="77777777" w:rsidR="005E739D" w:rsidRPr="00922CFF" w:rsidRDefault="00891CAC" w:rsidP="00A40714">
      <w:pPr>
        <w:jc w:val="center"/>
        <w:rPr>
          <w:rFonts w:cstheme="minorHAnsi"/>
          <w:b/>
          <w:sz w:val="72"/>
        </w:rPr>
      </w:pPr>
      <w:r w:rsidRPr="00A40714">
        <w:rPr>
          <w:rFonts w:cstheme="minorHAnsi"/>
          <w:b/>
          <w:noProof/>
          <w:sz w:val="72"/>
          <w:lang w:eastAsia="en-ZA"/>
        </w:rPr>
        <w:drawing>
          <wp:inline distT="0" distB="0" distL="0" distR="0" wp14:anchorId="45A9289E" wp14:editId="058818FB">
            <wp:extent cx="3115310" cy="240220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5310" cy="2402205"/>
                    </a:xfrm>
                    <a:prstGeom prst="rect">
                      <a:avLst/>
                    </a:prstGeom>
                    <a:noFill/>
                  </pic:spPr>
                </pic:pic>
              </a:graphicData>
            </a:graphic>
          </wp:inline>
        </w:drawing>
      </w:r>
    </w:p>
    <w:p w14:paraId="4795DCCB" w14:textId="77777777" w:rsidR="0099474A" w:rsidRPr="009A5249" w:rsidRDefault="00522F22" w:rsidP="003B2DC8">
      <w:pPr>
        <w:jc w:val="center"/>
        <w:rPr>
          <w:rFonts w:ascii="Arial" w:hAnsi="Arial" w:cs="Arial"/>
          <w:b/>
          <w:sz w:val="56"/>
        </w:rPr>
      </w:pPr>
      <w:r>
        <w:rPr>
          <w:rFonts w:ascii="Arial" w:hAnsi="Arial" w:cs="Arial"/>
          <w:b/>
          <w:sz w:val="52"/>
        </w:rPr>
        <w:t xml:space="preserve">PUBLIC ENTITY </w:t>
      </w:r>
      <w:r w:rsidR="0099474A" w:rsidRPr="009A5249">
        <w:rPr>
          <w:rFonts w:ascii="Arial" w:hAnsi="Arial" w:cs="Arial"/>
          <w:b/>
          <w:sz w:val="52"/>
        </w:rPr>
        <w:t>GUIDELINES FOR COSTING AND BUDGETING FOR COMPENSATION OF EMPLOYEES</w:t>
      </w:r>
    </w:p>
    <w:p w14:paraId="5B4428F8" w14:textId="77777777" w:rsidR="00AA1941" w:rsidRPr="00F00207" w:rsidRDefault="008421B7" w:rsidP="003B2DC8">
      <w:pPr>
        <w:jc w:val="center"/>
        <w:rPr>
          <w:rFonts w:ascii="Arial" w:hAnsi="Arial" w:cs="Arial"/>
          <w:sz w:val="28"/>
          <w:szCs w:val="32"/>
        </w:rPr>
      </w:pPr>
      <w:r w:rsidRPr="00F00207">
        <w:rPr>
          <w:rFonts w:ascii="Arial" w:hAnsi="Arial" w:cs="Arial"/>
          <w:sz w:val="28"/>
          <w:szCs w:val="32"/>
        </w:rPr>
        <w:t xml:space="preserve">FOR THE PREPARATION OF EXPENDITURE ESTIMATES FOR THE </w:t>
      </w:r>
      <w:r w:rsidR="0029639B">
        <w:rPr>
          <w:rFonts w:ascii="Arial" w:hAnsi="Arial" w:cs="Arial"/>
          <w:sz w:val="28"/>
          <w:szCs w:val="32"/>
        </w:rPr>
        <w:t>2021</w:t>
      </w:r>
      <w:r w:rsidR="00802612" w:rsidRPr="00F00207">
        <w:rPr>
          <w:rFonts w:ascii="Arial" w:hAnsi="Arial" w:cs="Arial"/>
          <w:sz w:val="28"/>
          <w:szCs w:val="32"/>
        </w:rPr>
        <w:t xml:space="preserve"> </w:t>
      </w:r>
      <w:r w:rsidRPr="00F00207">
        <w:rPr>
          <w:rFonts w:ascii="Arial" w:hAnsi="Arial" w:cs="Arial"/>
          <w:sz w:val="28"/>
          <w:szCs w:val="32"/>
        </w:rPr>
        <w:t>MEDIUM TERM EXPENDITURE FRAMEWORK</w:t>
      </w:r>
      <w:r w:rsidR="002520FB" w:rsidRPr="00F00207">
        <w:rPr>
          <w:rFonts w:ascii="Arial" w:hAnsi="Arial" w:cs="Arial"/>
          <w:sz w:val="28"/>
          <w:szCs w:val="32"/>
        </w:rPr>
        <w:t xml:space="preserve"> </w:t>
      </w:r>
      <w:r w:rsidR="001A3A89" w:rsidRPr="00F00207">
        <w:rPr>
          <w:rFonts w:ascii="Arial" w:hAnsi="Arial" w:cs="Arial"/>
          <w:sz w:val="28"/>
          <w:szCs w:val="32"/>
        </w:rPr>
        <w:t>(MTEF)</w:t>
      </w:r>
    </w:p>
    <w:p w14:paraId="60E48809" w14:textId="77777777" w:rsidR="00AA1941" w:rsidRDefault="00AA1941" w:rsidP="00E71245">
      <w:pPr>
        <w:jc w:val="center"/>
        <w:rPr>
          <w:rFonts w:cstheme="minorHAnsi"/>
        </w:rPr>
      </w:pPr>
    </w:p>
    <w:p w14:paraId="3A43A839" w14:textId="77777777" w:rsidR="00891CAC" w:rsidRPr="00922CFF" w:rsidRDefault="00891CAC" w:rsidP="00E71245">
      <w:pPr>
        <w:jc w:val="center"/>
        <w:rPr>
          <w:rFonts w:cstheme="minorHAnsi"/>
        </w:rPr>
      </w:pPr>
    </w:p>
    <w:p w14:paraId="50995C36" w14:textId="77777777" w:rsidR="00AA1941" w:rsidRPr="00922CFF" w:rsidRDefault="00AA1941" w:rsidP="00E71245">
      <w:pPr>
        <w:jc w:val="center"/>
        <w:rPr>
          <w:rFonts w:cstheme="minorHAnsi"/>
        </w:rPr>
      </w:pPr>
    </w:p>
    <w:p w14:paraId="267364BA" w14:textId="77777777" w:rsidR="00AA1941" w:rsidRPr="00F00207" w:rsidRDefault="00AA1941" w:rsidP="00E71245">
      <w:pPr>
        <w:jc w:val="center"/>
        <w:rPr>
          <w:rFonts w:ascii="Arial" w:hAnsi="Arial" w:cs="Arial"/>
        </w:rPr>
      </w:pPr>
    </w:p>
    <w:p w14:paraId="33EBF6A2" w14:textId="77777777" w:rsidR="00AA1941" w:rsidRPr="00F00207" w:rsidRDefault="00AA1941" w:rsidP="00E71245">
      <w:pPr>
        <w:jc w:val="center"/>
        <w:rPr>
          <w:rFonts w:ascii="Arial" w:hAnsi="Arial" w:cs="Arial"/>
          <w:sz w:val="36"/>
        </w:rPr>
      </w:pPr>
      <w:r w:rsidRPr="00F00207">
        <w:rPr>
          <w:rFonts w:ascii="Arial" w:hAnsi="Arial" w:cs="Arial"/>
          <w:sz w:val="36"/>
        </w:rPr>
        <w:t>National Treasury</w:t>
      </w:r>
    </w:p>
    <w:p w14:paraId="7E616E21" w14:textId="00D6BD96" w:rsidR="00AA1941" w:rsidRPr="00F00207" w:rsidRDefault="006A17A7" w:rsidP="00E71245">
      <w:pPr>
        <w:jc w:val="center"/>
        <w:rPr>
          <w:rFonts w:ascii="Arial" w:hAnsi="Arial" w:cs="Arial"/>
          <w:sz w:val="36"/>
        </w:rPr>
      </w:pPr>
      <w:r>
        <w:rPr>
          <w:rFonts w:ascii="Arial" w:hAnsi="Arial" w:cs="Arial"/>
          <w:sz w:val="36"/>
        </w:rPr>
        <w:t>October</w:t>
      </w:r>
      <w:r w:rsidRPr="00F00207">
        <w:rPr>
          <w:rFonts w:ascii="Arial" w:hAnsi="Arial" w:cs="Arial"/>
          <w:sz w:val="36"/>
        </w:rPr>
        <w:t xml:space="preserve"> </w:t>
      </w:r>
      <w:r w:rsidR="0029639B">
        <w:rPr>
          <w:rFonts w:ascii="Arial" w:hAnsi="Arial" w:cs="Arial"/>
          <w:sz w:val="36"/>
        </w:rPr>
        <w:t>2020</w:t>
      </w:r>
    </w:p>
    <w:p w14:paraId="7ACADA8D" w14:textId="77777777" w:rsidR="00AA1941" w:rsidRPr="00922CFF" w:rsidRDefault="00AA1941" w:rsidP="00E71245">
      <w:pPr>
        <w:jc w:val="both"/>
        <w:rPr>
          <w:rFonts w:cstheme="minorHAnsi"/>
        </w:rPr>
      </w:pPr>
    </w:p>
    <w:p w14:paraId="532F4916" w14:textId="77777777" w:rsidR="00AA1941" w:rsidRPr="00922CFF" w:rsidRDefault="00AA1941" w:rsidP="00E71245">
      <w:pPr>
        <w:jc w:val="both"/>
        <w:rPr>
          <w:rFonts w:cstheme="minorHAnsi"/>
        </w:rPr>
      </w:pPr>
    </w:p>
    <w:p w14:paraId="5813A031" w14:textId="77777777" w:rsidR="00AA1941" w:rsidRDefault="00AA1941" w:rsidP="00E71245">
      <w:pPr>
        <w:jc w:val="both"/>
        <w:rPr>
          <w:rFonts w:cstheme="minorHAnsi"/>
        </w:rPr>
      </w:pPr>
    </w:p>
    <w:p w14:paraId="03F5516B" w14:textId="77777777" w:rsidR="006C2979" w:rsidRDefault="006C2979" w:rsidP="00E71245">
      <w:pPr>
        <w:jc w:val="both"/>
        <w:rPr>
          <w:rFonts w:cstheme="minorHAnsi"/>
        </w:rPr>
      </w:pPr>
    </w:p>
    <w:p w14:paraId="754132A3" w14:textId="77777777" w:rsidR="006C2979" w:rsidRPr="00922CFF" w:rsidRDefault="006C2979" w:rsidP="00E71245">
      <w:pPr>
        <w:jc w:val="both"/>
        <w:rPr>
          <w:rFonts w:cstheme="minorHAnsi"/>
        </w:rPr>
      </w:pPr>
    </w:p>
    <w:p w14:paraId="61407CF7" w14:textId="77777777" w:rsidR="00AA1941" w:rsidRDefault="00AA1941" w:rsidP="00E71245">
      <w:pPr>
        <w:jc w:val="both"/>
        <w:rPr>
          <w:rFonts w:cstheme="minorHAnsi"/>
        </w:rPr>
      </w:pPr>
    </w:p>
    <w:p w14:paraId="02070359" w14:textId="77777777" w:rsidR="003B2DC8" w:rsidRPr="00922CFF" w:rsidRDefault="003B2DC8" w:rsidP="00E71245">
      <w:pPr>
        <w:jc w:val="both"/>
        <w:rPr>
          <w:rFonts w:cstheme="minorHAnsi"/>
        </w:rPr>
      </w:pPr>
    </w:p>
    <w:p w14:paraId="62182B39" w14:textId="159772BB" w:rsidR="00201AB1" w:rsidRDefault="00201AB1" w:rsidP="003A28F2">
      <w:pPr>
        <w:pStyle w:val="Heading1"/>
        <w:tabs>
          <w:tab w:val="left" w:pos="567"/>
        </w:tabs>
        <w:ind w:left="720" w:hanging="720"/>
      </w:pPr>
      <w:bookmarkStart w:id="0" w:name="_Toc391277056"/>
      <w:bookmarkStart w:id="1" w:name="_Toc390760155"/>
      <w:bookmarkStart w:id="2" w:name="_Toc390760223"/>
      <w:bookmarkStart w:id="3" w:name="_Toc390760381"/>
      <w:bookmarkStart w:id="4" w:name="_Toc390760953"/>
      <w:bookmarkStart w:id="5" w:name="_Toc390759396"/>
      <w:bookmarkStart w:id="6" w:name="_Toc390760156"/>
      <w:bookmarkStart w:id="7" w:name="_Toc390760224"/>
      <w:bookmarkStart w:id="8" w:name="_Toc390760382"/>
      <w:bookmarkStart w:id="9" w:name="_Toc390760954"/>
      <w:bookmarkStart w:id="10" w:name="_Toc390759397"/>
      <w:bookmarkStart w:id="11" w:name="_Toc390760157"/>
      <w:bookmarkStart w:id="12" w:name="_Toc390760225"/>
      <w:bookmarkStart w:id="13" w:name="_Toc390760383"/>
      <w:bookmarkStart w:id="14" w:name="_Toc390760955"/>
      <w:bookmarkStart w:id="15" w:name="_Toc391276757"/>
      <w:bookmarkStart w:id="16" w:name="_Toc391277057"/>
      <w:bookmarkStart w:id="17" w:name="_Toc391276758"/>
      <w:bookmarkStart w:id="18" w:name="_Toc391277058"/>
      <w:bookmarkStart w:id="19" w:name="_Toc391276759"/>
      <w:bookmarkStart w:id="20" w:name="_Toc391277059"/>
      <w:bookmarkStart w:id="21" w:name="_Toc391276760"/>
      <w:bookmarkStart w:id="22" w:name="_Toc391277060"/>
      <w:bookmarkStart w:id="23" w:name="_Toc391276761"/>
      <w:bookmarkStart w:id="24" w:name="_Toc391277061"/>
      <w:bookmarkStart w:id="25" w:name="_Toc391276762"/>
      <w:bookmarkStart w:id="26" w:name="_Toc391277062"/>
      <w:bookmarkStart w:id="27" w:name="_Toc391276763"/>
      <w:bookmarkStart w:id="28" w:name="_Toc391277063"/>
      <w:bookmarkStart w:id="29" w:name="_Toc391276764"/>
      <w:bookmarkStart w:id="30" w:name="_Toc391277064"/>
      <w:bookmarkStart w:id="31" w:name="_Toc391276765"/>
      <w:bookmarkStart w:id="32" w:name="_Toc391277065"/>
      <w:bookmarkStart w:id="33" w:name="_Toc391276766"/>
      <w:bookmarkStart w:id="34" w:name="_Toc391277066"/>
      <w:bookmarkStart w:id="35" w:name="_Toc391276767"/>
      <w:bookmarkStart w:id="36" w:name="_Toc391277067"/>
      <w:bookmarkStart w:id="37" w:name="_Toc391276768"/>
      <w:bookmarkStart w:id="38" w:name="_Toc391277068"/>
      <w:bookmarkStart w:id="39" w:name="_Toc391276769"/>
      <w:bookmarkStart w:id="40" w:name="_Toc391277069"/>
      <w:bookmarkStart w:id="41" w:name="_Toc391276770"/>
      <w:bookmarkStart w:id="42" w:name="_Toc391277070"/>
      <w:bookmarkStart w:id="43" w:name="_Toc391276771"/>
      <w:bookmarkStart w:id="44" w:name="_Toc391277071"/>
      <w:bookmarkStart w:id="45" w:name="_Toc391276772"/>
      <w:bookmarkStart w:id="46" w:name="_Toc391277072"/>
      <w:bookmarkStart w:id="47" w:name="_Toc391276773"/>
      <w:bookmarkStart w:id="48" w:name="_Toc391277073"/>
      <w:bookmarkStart w:id="49" w:name="_Toc391276774"/>
      <w:bookmarkStart w:id="50" w:name="_Toc391277074"/>
      <w:bookmarkStart w:id="51" w:name="_Toc391276775"/>
      <w:bookmarkStart w:id="52" w:name="_Toc391277075"/>
      <w:bookmarkStart w:id="53" w:name="_Toc391276776"/>
      <w:bookmarkStart w:id="54" w:name="_Toc391277076"/>
      <w:bookmarkStart w:id="55" w:name="_Toc391276777"/>
      <w:bookmarkStart w:id="56" w:name="_Toc391277077"/>
      <w:bookmarkStart w:id="57" w:name="_Toc391276778"/>
      <w:bookmarkStart w:id="58" w:name="_Toc391277078"/>
      <w:bookmarkStart w:id="59" w:name="_Toc391276779"/>
      <w:bookmarkStart w:id="60" w:name="_Toc391277079"/>
      <w:bookmarkStart w:id="61" w:name="_Toc391276780"/>
      <w:bookmarkStart w:id="62" w:name="_Toc391277080"/>
      <w:bookmarkStart w:id="63" w:name="_Toc391276781"/>
      <w:bookmarkStart w:id="64" w:name="_Toc391277081"/>
      <w:bookmarkStart w:id="65" w:name="_Toc391276782"/>
      <w:bookmarkStart w:id="66" w:name="_Toc391277082"/>
      <w:bookmarkStart w:id="67" w:name="_Toc391276783"/>
      <w:bookmarkStart w:id="68" w:name="_Toc391277083"/>
      <w:bookmarkStart w:id="69" w:name="_Toc391276784"/>
      <w:bookmarkStart w:id="70" w:name="_Toc391277084"/>
      <w:bookmarkStart w:id="71" w:name="_Toc391276785"/>
      <w:bookmarkStart w:id="72" w:name="_Toc391277085"/>
      <w:bookmarkStart w:id="73" w:name="_Toc391276786"/>
      <w:bookmarkStart w:id="74" w:name="_Toc391277086"/>
      <w:bookmarkStart w:id="75" w:name="_Toc391276787"/>
      <w:bookmarkStart w:id="76" w:name="_Toc391277087"/>
      <w:bookmarkStart w:id="77" w:name="_Toc390377805"/>
      <w:bookmarkStart w:id="78" w:name="_Toc390377806"/>
      <w:bookmarkStart w:id="79" w:name="_Toc390377807"/>
      <w:bookmarkStart w:id="80" w:name="_Toc390262292"/>
      <w:bookmarkStart w:id="81" w:name="_Toc390377808"/>
      <w:bookmarkStart w:id="82" w:name="_Toc390377809"/>
      <w:bookmarkStart w:id="83" w:name="_Toc390377810"/>
      <w:bookmarkStart w:id="84" w:name="_Toc390377811"/>
      <w:bookmarkStart w:id="85" w:name="_Toc390377812"/>
      <w:bookmarkStart w:id="86" w:name="_Toc390377813"/>
      <w:bookmarkStart w:id="87" w:name="_Toc390377814"/>
      <w:bookmarkStart w:id="88" w:name="_Toc390377815"/>
      <w:bookmarkStart w:id="89" w:name="_Toc390377816"/>
      <w:bookmarkStart w:id="90" w:name="_Toc390377858"/>
      <w:bookmarkStart w:id="91" w:name="_Toc390377873"/>
      <w:bookmarkStart w:id="92" w:name="_Toc390377943"/>
      <w:bookmarkStart w:id="93" w:name="_Toc390256857"/>
      <w:bookmarkStart w:id="94" w:name="_Toc390257191"/>
      <w:bookmarkStart w:id="95" w:name="_Toc390262294"/>
      <w:bookmarkStart w:id="96" w:name="_Toc391276788"/>
      <w:bookmarkStart w:id="97" w:name="_Toc391277088"/>
      <w:bookmarkStart w:id="98" w:name="_Toc391276789"/>
      <w:bookmarkStart w:id="99" w:name="_Toc391277089"/>
      <w:bookmarkStart w:id="100" w:name="_Toc391276790"/>
      <w:bookmarkStart w:id="101" w:name="_Toc391277090"/>
      <w:bookmarkStart w:id="102" w:name="_Toc391276791"/>
      <w:bookmarkStart w:id="103" w:name="_Toc391277091"/>
      <w:bookmarkStart w:id="104" w:name="_Toc391276792"/>
      <w:bookmarkStart w:id="105" w:name="_Toc391277092"/>
      <w:bookmarkStart w:id="106" w:name="_Toc391276793"/>
      <w:bookmarkStart w:id="107" w:name="_Toc391277093"/>
      <w:bookmarkStart w:id="108" w:name="_Toc391276794"/>
      <w:bookmarkStart w:id="109" w:name="_Toc391277094"/>
      <w:bookmarkStart w:id="110" w:name="_Toc391276795"/>
      <w:bookmarkStart w:id="111" w:name="_Toc391277095"/>
      <w:bookmarkStart w:id="112" w:name="_Toc391276796"/>
      <w:bookmarkStart w:id="113" w:name="_Toc391277096"/>
      <w:bookmarkStart w:id="114" w:name="_Toc391276797"/>
      <w:bookmarkStart w:id="115" w:name="_Toc391277097"/>
      <w:bookmarkStart w:id="116" w:name="_Toc391276798"/>
      <w:bookmarkStart w:id="117" w:name="_Toc391277098"/>
      <w:bookmarkStart w:id="118" w:name="_Toc391276799"/>
      <w:bookmarkStart w:id="119" w:name="_Toc391277099"/>
      <w:bookmarkStart w:id="120" w:name="_Toc391276800"/>
      <w:bookmarkStart w:id="121" w:name="_Toc391277100"/>
      <w:bookmarkStart w:id="122" w:name="_Toc391276801"/>
      <w:bookmarkStart w:id="123" w:name="_Toc391277101"/>
      <w:bookmarkStart w:id="124" w:name="_Toc391276802"/>
      <w:bookmarkStart w:id="125" w:name="_Toc391277102"/>
      <w:bookmarkStart w:id="126" w:name="_Toc391276803"/>
      <w:bookmarkStart w:id="127" w:name="_Toc391277103"/>
      <w:bookmarkStart w:id="128" w:name="_Toc391276804"/>
      <w:bookmarkStart w:id="129" w:name="_Toc391277104"/>
      <w:bookmarkStart w:id="130" w:name="_Toc391276805"/>
      <w:bookmarkStart w:id="131" w:name="_Toc391277105"/>
      <w:bookmarkStart w:id="132" w:name="_Toc391276806"/>
      <w:bookmarkStart w:id="133" w:name="_Toc391277106"/>
      <w:bookmarkStart w:id="134" w:name="_Toc391276807"/>
      <w:bookmarkStart w:id="135" w:name="_Toc391277107"/>
      <w:bookmarkStart w:id="136" w:name="_Toc391276808"/>
      <w:bookmarkStart w:id="137" w:name="_Toc391277108"/>
      <w:bookmarkStart w:id="138" w:name="_Toc391276809"/>
      <w:bookmarkStart w:id="139" w:name="_Toc391277109"/>
      <w:bookmarkStart w:id="140" w:name="_Toc391276810"/>
      <w:bookmarkStart w:id="141" w:name="_Toc391277110"/>
      <w:bookmarkStart w:id="142" w:name="_Toc391276811"/>
      <w:bookmarkStart w:id="143" w:name="_Toc391277111"/>
      <w:bookmarkStart w:id="144" w:name="_Toc391276812"/>
      <w:bookmarkStart w:id="145" w:name="_Toc391277112"/>
      <w:bookmarkStart w:id="146" w:name="_Toc391276813"/>
      <w:bookmarkStart w:id="147" w:name="_Toc391277113"/>
      <w:bookmarkStart w:id="148" w:name="_Toc391276814"/>
      <w:bookmarkStart w:id="149" w:name="_Toc391277114"/>
      <w:bookmarkStart w:id="150" w:name="_Toc391276815"/>
      <w:bookmarkStart w:id="151" w:name="_Toc391277115"/>
      <w:bookmarkStart w:id="152" w:name="_Toc391276816"/>
      <w:bookmarkStart w:id="153" w:name="_Toc391277116"/>
      <w:bookmarkStart w:id="154" w:name="_Toc391276817"/>
      <w:bookmarkStart w:id="155" w:name="_Toc391277117"/>
      <w:bookmarkStart w:id="156" w:name="_Toc391276818"/>
      <w:bookmarkStart w:id="157" w:name="_Toc391277118"/>
      <w:bookmarkStart w:id="158" w:name="_Toc391276819"/>
      <w:bookmarkStart w:id="159" w:name="_Toc391277119"/>
      <w:bookmarkStart w:id="160" w:name="_Toc391276820"/>
      <w:bookmarkStart w:id="161" w:name="_Toc391277120"/>
      <w:bookmarkStart w:id="162" w:name="_Toc391276821"/>
      <w:bookmarkStart w:id="163" w:name="_Toc391277121"/>
      <w:bookmarkStart w:id="164" w:name="_Toc391276822"/>
      <w:bookmarkStart w:id="165" w:name="_Toc391277122"/>
      <w:bookmarkStart w:id="166" w:name="_Toc391276823"/>
      <w:bookmarkStart w:id="167" w:name="_Toc391277123"/>
      <w:bookmarkStart w:id="168" w:name="_Toc391276824"/>
      <w:bookmarkStart w:id="169" w:name="_Toc391277124"/>
      <w:bookmarkStart w:id="170" w:name="_Toc391276825"/>
      <w:bookmarkStart w:id="171" w:name="_Toc391277125"/>
      <w:bookmarkStart w:id="172" w:name="_Toc391276826"/>
      <w:bookmarkStart w:id="173" w:name="_Toc391277126"/>
      <w:bookmarkStart w:id="174" w:name="_Toc391276827"/>
      <w:bookmarkStart w:id="175" w:name="_Toc391277127"/>
      <w:bookmarkStart w:id="176" w:name="_Toc391276828"/>
      <w:bookmarkStart w:id="177" w:name="_Toc391277128"/>
      <w:bookmarkStart w:id="178" w:name="_Toc391276829"/>
      <w:bookmarkStart w:id="179" w:name="_Toc391277129"/>
      <w:bookmarkStart w:id="180" w:name="_Toc391276830"/>
      <w:bookmarkStart w:id="181" w:name="_Toc391277130"/>
      <w:bookmarkStart w:id="182" w:name="_Toc391276831"/>
      <w:bookmarkStart w:id="183" w:name="_Toc391277131"/>
      <w:bookmarkStart w:id="184" w:name="_Toc391276832"/>
      <w:bookmarkStart w:id="185" w:name="_Toc391277132"/>
      <w:bookmarkStart w:id="186" w:name="_Toc391276833"/>
      <w:bookmarkStart w:id="187" w:name="_Toc391277133"/>
      <w:bookmarkStart w:id="188" w:name="_Toc391276834"/>
      <w:bookmarkStart w:id="189" w:name="_Toc391277134"/>
      <w:bookmarkStart w:id="190" w:name="_Toc391276835"/>
      <w:bookmarkStart w:id="191" w:name="_Toc391277135"/>
      <w:bookmarkStart w:id="192" w:name="_Toc391276836"/>
      <w:bookmarkStart w:id="193" w:name="_Toc391277136"/>
      <w:bookmarkStart w:id="194" w:name="_Toc391276837"/>
      <w:bookmarkStart w:id="195" w:name="_Toc391277137"/>
      <w:bookmarkStart w:id="196" w:name="_Toc391276838"/>
      <w:bookmarkStart w:id="197" w:name="_Toc391277138"/>
      <w:bookmarkStart w:id="198" w:name="_Toc391276839"/>
      <w:bookmarkStart w:id="199" w:name="_Toc391277139"/>
      <w:bookmarkStart w:id="200" w:name="_Toc391276840"/>
      <w:bookmarkStart w:id="201" w:name="_Toc391277140"/>
      <w:bookmarkStart w:id="202" w:name="_Toc391276841"/>
      <w:bookmarkStart w:id="203" w:name="_Toc391277141"/>
      <w:bookmarkStart w:id="204" w:name="_Toc391276842"/>
      <w:bookmarkStart w:id="205" w:name="_Toc391277142"/>
      <w:bookmarkStart w:id="206" w:name="_Toc391276843"/>
      <w:bookmarkStart w:id="207" w:name="_Toc391277143"/>
      <w:bookmarkStart w:id="208" w:name="_Toc391276844"/>
      <w:bookmarkStart w:id="209" w:name="_Toc391277144"/>
      <w:bookmarkStart w:id="210" w:name="_Toc391276845"/>
      <w:bookmarkStart w:id="211" w:name="_Toc391277145"/>
      <w:bookmarkStart w:id="212" w:name="_Toc391276846"/>
      <w:bookmarkStart w:id="213" w:name="_Toc391277146"/>
      <w:bookmarkStart w:id="214" w:name="_Toc391276847"/>
      <w:bookmarkStart w:id="215" w:name="_Toc391277147"/>
      <w:bookmarkStart w:id="216" w:name="_Toc391276848"/>
      <w:bookmarkStart w:id="217" w:name="_Toc391277148"/>
      <w:bookmarkStart w:id="218" w:name="_Toc391276849"/>
      <w:bookmarkStart w:id="219" w:name="_Toc391277149"/>
      <w:bookmarkStart w:id="220" w:name="_Toc391276850"/>
      <w:bookmarkStart w:id="221" w:name="_Toc391277150"/>
      <w:bookmarkStart w:id="222" w:name="_Toc391276851"/>
      <w:bookmarkStart w:id="223" w:name="_Toc391277151"/>
      <w:bookmarkStart w:id="224" w:name="_Toc391276852"/>
      <w:bookmarkStart w:id="225" w:name="_Toc391277152"/>
      <w:bookmarkStart w:id="226" w:name="_Toc391276853"/>
      <w:bookmarkStart w:id="227" w:name="_Toc391277153"/>
      <w:bookmarkStart w:id="228" w:name="_Toc391276854"/>
      <w:bookmarkStart w:id="229" w:name="_Toc391277154"/>
      <w:bookmarkStart w:id="230" w:name="_Toc391276855"/>
      <w:bookmarkStart w:id="231" w:name="_Toc391277155"/>
      <w:bookmarkStart w:id="232" w:name="_Toc391276856"/>
      <w:bookmarkStart w:id="233" w:name="_Toc391277156"/>
      <w:bookmarkStart w:id="234" w:name="_Toc391276857"/>
      <w:bookmarkStart w:id="235" w:name="_Toc391277157"/>
      <w:bookmarkStart w:id="236" w:name="_Toc391276858"/>
      <w:bookmarkStart w:id="237" w:name="_Toc391277158"/>
      <w:bookmarkStart w:id="238" w:name="_Toc391276859"/>
      <w:bookmarkStart w:id="239" w:name="_Toc391277159"/>
      <w:bookmarkStart w:id="240" w:name="_Toc391276860"/>
      <w:bookmarkStart w:id="241" w:name="_Toc391277160"/>
      <w:bookmarkStart w:id="242" w:name="_Toc391276861"/>
      <w:bookmarkStart w:id="243" w:name="_Toc391277161"/>
      <w:bookmarkStart w:id="244" w:name="_Toc391276862"/>
      <w:bookmarkStart w:id="245" w:name="_Toc391277162"/>
      <w:bookmarkStart w:id="246" w:name="_Toc391276863"/>
      <w:bookmarkStart w:id="247" w:name="_Toc391277163"/>
      <w:bookmarkStart w:id="248" w:name="_Toc391276864"/>
      <w:bookmarkStart w:id="249" w:name="_Toc391277164"/>
      <w:bookmarkStart w:id="250" w:name="_Toc391276865"/>
      <w:bookmarkStart w:id="251" w:name="_Toc391277165"/>
      <w:bookmarkStart w:id="252" w:name="_Toc391276866"/>
      <w:bookmarkStart w:id="253" w:name="_Toc391277166"/>
      <w:bookmarkStart w:id="254" w:name="_Toc391276867"/>
      <w:bookmarkStart w:id="255" w:name="_Toc391277167"/>
      <w:bookmarkStart w:id="256" w:name="_Toc391276868"/>
      <w:bookmarkStart w:id="257" w:name="_Toc391277168"/>
      <w:bookmarkStart w:id="258" w:name="_Toc391276869"/>
      <w:bookmarkStart w:id="259" w:name="_Toc391277169"/>
      <w:bookmarkStart w:id="260" w:name="_Toc391276870"/>
      <w:bookmarkStart w:id="261" w:name="_Toc391277170"/>
      <w:bookmarkStart w:id="262" w:name="_Toc391276871"/>
      <w:bookmarkStart w:id="263" w:name="_Toc391277171"/>
      <w:bookmarkStart w:id="264" w:name="_Toc390759406"/>
      <w:bookmarkStart w:id="265" w:name="_Toc390760167"/>
      <w:bookmarkStart w:id="266" w:name="_Toc390760235"/>
      <w:bookmarkStart w:id="267" w:name="_Toc390760393"/>
      <w:bookmarkStart w:id="268" w:name="_Toc390760965"/>
      <w:bookmarkStart w:id="269" w:name="_Toc390759407"/>
      <w:bookmarkStart w:id="270" w:name="_Toc390760168"/>
      <w:bookmarkStart w:id="271" w:name="_Toc390760236"/>
      <w:bookmarkStart w:id="272" w:name="_Toc390760394"/>
      <w:bookmarkStart w:id="273" w:name="_Toc390760966"/>
      <w:bookmarkStart w:id="274" w:name="_Toc390759408"/>
      <w:bookmarkStart w:id="275" w:name="_Toc390760169"/>
      <w:bookmarkStart w:id="276" w:name="_Toc390760237"/>
      <w:bookmarkStart w:id="277" w:name="_Toc390760395"/>
      <w:bookmarkStart w:id="278" w:name="_Toc390760967"/>
      <w:bookmarkStart w:id="279" w:name="_Toc390759409"/>
      <w:bookmarkStart w:id="280" w:name="_Toc390760170"/>
      <w:bookmarkStart w:id="281" w:name="_Toc390760238"/>
      <w:bookmarkStart w:id="282" w:name="_Toc390760396"/>
      <w:bookmarkStart w:id="283" w:name="_Toc390760968"/>
      <w:bookmarkStart w:id="284" w:name="_Toc390377956"/>
      <w:bookmarkStart w:id="285" w:name="_Toc390377957"/>
      <w:bookmarkStart w:id="286" w:name="_Toc391276872"/>
      <w:bookmarkStart w:id="287" w:name="_Toc391277172"/>
      <w:bookmarkStart w:id="288" w:name="_Toc39127717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lastRenderedPageBreak/>
        <w:t>I</w:t>
      </w:r>
      <w:bookmarkEnd w:id="288"/>
      <w:r w:rsidR="003A28F2">
        <w:t>ntroduction</w:t>
      </w:r>
    </w:p>
    <w:p w14:paraId="543F04E5" w14:textId="4EE84737" w:rsidR="00DF1C26" w:rsidRDefault="00522F22" w:rsidP="00594A52">
      <w:pPr>
        <w:numPr>
          <w:ilvl w:val="1"/>
          <w:numId w:val="1"/>
        </w:numPr>
        <w:ind w:left="540" w:hanging="540"/>
        <w:jc w:val="both"/>
        <w:rPr>
          <w:rFonts w:cstheme="minorHAnsi"/>
          <w:lang w:val="en-US"/>
        </w:rPr>
      </w:pPr>
      <w:r>
        <w:rPr>
          <w:rFonts w:cstheme="minorHAnsi"/>
          <w:lang w:val="en-US"/>
        </w:rPr>
        <w:t xml:space="preserve">While public entities </w:t>
      </w:r>
      <w:r w:rsidR="007C4A9F">
        <w:rPr>
          <w:rFonts w:cstheme="minorHAnsi"/>
          <w:lang w:val="en-US"/>
        </w:rPr>
        <w:t xml:space="preserve">across national and provincial spheres of government </w:t>
      </w:r>
      <w:r>
        <w:rPr>
          <w:rFonts w:cstheme="minorHAnsi"/>
          <w:lang w:val="en-US"/>
        </w:rPr>
        <w:t xml:space="preserve">have not implemented explicit compensation ceilings, </w:t>
      </w:r>
      <w:r w:rsidR="007C4A9F">
        <w:rPr>
          <w:rFonts w:cstheme="minorHAnsi"/>
          <w:lang w:val="en-US"/>
        </w:rPr>
        <w:t xml:space="preserve">National Treasury considers it prudent that they adopt and </w:t>
      </w:r>
      <w:r>
        <w:rPr>
          <w:rFonts w:cstheme="minorHAnsi"/>
          <w:lang w:val="en-US"/>
        </w:rPr>
        <w:t xml:space="preserve">adhere to all </w:t>
      </w:r>
      <w:r w:rsidR="007C4A9F">
        <w:rPr>
          <w:rFonts w:cstheme="minorHAnsi"/>
          <w:lang w:val="en-US"/>
        </w:rPr>
        <w:t xml:space="preserve">central </w:t>
      </w:r>
      <w:r>
        <w:rPr>
          <w:rFonts w:cstheme="minorHAnsi"/>
          <w:lang w:val="en-US"/>
        </w:rPr>
        <w:t xml:space="preserve">instructions relating to compensation management and associated cost savings measures. </w:t>
      </w:r>
    </w:p>
    <w:p w14:paraId="10ABB836" w14:textId="77777777" w:rsidR="00043370" w:rsidRDefault="00522F22" w:rsidP="00E00D86">
      <w:pPr>
        <w:numPr>
          <w:ilvl w:val="1"/>
          <w:numId w:val="1"/>
        </w:numPr>
        <w:ind w:left="540" w:hanging="540"/>
        <w:jc w:val="both"/>
        <w:rPr>
          <w:rFonts w:cstheme="minorHAnsi"/>
          <w:lang w:val="en-US"/>
        </w:rPr>
      </w:pPr>
      <w:r>
        <w:rPr>
          <w:rFonts w:cstheme="minorHAnsi"/>
          <w:lang w:val="en-US"/>
        </w:rPr>
        <w:t xml:space="preserve">As with departments at the national sphere of government, public entities </w:t>
      </w:r>
      <w:r w:rsidR="00DF1C26">
        <w:rPr>
          <w:rFonts w:cstheme="minorHAnsi"/>
          <w:lang w:val="en-US"/>
        </w:rPr>
        <w:t xml:space="preserve">are </w:t>
      </w:r>
      <w:r w:rsidR="002C3D33">
        <w:rPr>
          <w:rFonts w:cstheme="minorHAnsi"/>
          <w:lang w:val="en-US"/>
        </w:rPr>
        <w:t xml:space="preserve">also </w:t>
      </w:r>
      <w:r w:rsidR="00DF1C26">
        <w:rPr>
          <w:rFonts w:cstheme="minorHAnsi"/>
          <w:lang w:val="en-US"/>
        </w:rPr>
        <w:t xml:space="preserve">expected to </w:t>
      </w:r>
      <w:r w:rsidR="00006B49">
        <w:rPr>
          <w:rFonts w:cstheme="minorHAnsi"/>
          <w:lang w:val="en-US"/>
        </w:rPr>
        <w:t xml:space="preserve">manage and </w:t>
      </w:r>
      <w:r w:rsidR="00043370">
        <w:rPr>
          <w:rFonts w:cstheme="minorHAnsi"/>
          <w:lang w:val="en-US"/>
        </w:rPr>
        <w:t>monitor</w:t>
      </w:r>
      <w:r w:rsidR="00DF1C26">
        <w:rPr>
          <w:rFonts w:cstheme="minorHAnsi"/>
          <w:lang w:val="en-US"/>
        </w:rPr>
        <w:t xml:space="preserve"> i</w:t>
      </w:r>
      <w:r w:rsidR="00DF1C26" w:rsidRPr="00DF1C26">
        <w:rPr>
          <w:rFonts w:cstheme="minorHAnsi"/>
          <w:lang w:val="en-US"/>
        </w:rPr>
        <w:t xml:space="preserve">mplementation of </w:t>
      </w:r>
      <w:r w:rsidR="0041630F">
        <w:rPr>
          <w:rFonts w:cstheme="minorHAnsi"/>
          <w:lang w:val="en-US"/>
        </w:rPr>
        <w:t>compensation budgets</w:t>
      </w:r>
      <w:r w:rsidR="00DF1C26" w:rsidRPr="00DF1C26">
        <w:rPr>
          <w:rFonts w:cstheme="minorHAnsi"/>
          <w:lang w:val="en-US"/>
        </w:rPr>
        <w:t xml:space="preserve"> and headcount numbers </w:t>
      </w:r>
      <w:r w:rsidR="00DF1C26">
        <w:rPr>
          <w:rFonts w:cstheme="minorHAnsi"/>
          <w:lang w:val="en-US"/>
        </w:rPr>
        <w:t xml:space="preserve">with </w:t>
      </w:r>
      <w:r w:rsidR="00DF1C26" w:rsidRPr="00DF1C26">
        <w:rPr>
          <w:rFonts w:cstheme="minorHAnsi"/>
          <w:lang w:val="en-US"/>
        </w:rPr>
        <w:t>the view to identify sources of cost pressures so that corrective measures can be taken</w:t>
      </w:r>
      <w:r w:rsidR="00043370">
        <w:rPr>
          <w:rFonts w:cstheme="minorHAnsi"/>
          <w:lang w:val="en-US"/>
        </w:rPr>
        <w:t>.</w:t>
      </w:r>
    </w:p>
    <w:p w14:paraId="26C69C20" w14:textId="30874AE4" w:rsidR="001401F2" w:rsidRDefault="001401F2" w:rsidP="00F42FF1">
      <w:pPr>
        <w:numPr>
          <w:ilvl w:val="1"/>
          <w:numId w:val="1"/>
        </w:numPr>
        <w:ind w:left="540" w:hanging="540"/>
        <w:jc w:val="both"/>
        <w:rPr>
          <w:rFonts w:cstheme="minorHAnsi"/>
          <w:lang w:val="en-US"/>
        </w:rPr>
      </w:pPr>
      <w:r w:rsidRPr="00F42FF1">
        <w:rPr>
          <w:rFonts w:cstheme="minorHAnsi"/>
          <w:lang w:val="en-US"/>
        </w:rPr>
        <w:t>The</w:t>
      </w:r>
      <w:r w:rsidR="005B0408">
        <w:rPr>
          <w:rFonts w:cstheme="minorHAnsi"/>
          <w:lang w:val="en-US"/>
        </w:rPr>
        <w:t>se guidelines provide</w:t>
      </w:r>
      <w:r w:rsidR="0041630F">
        <w:rPr>
          <w:rFonts w:cstheme="minorHAnsi"/>
          <w:lang w:val="en-US"/>
        </w:rPr>
        <w:t xml:space="preserve"> additional information and guidance applicable to Public Entities over and above generic </w:t>
      </w:r>
      <w:r w:rsidR="005B0408">
        <w:rPr>
          <w:rFonts w:cstheme="minorHAnsi"/>
          <w:lang w:val="en-US"/>
        </w:rPr>
        <w:t>requirements</w:t>
      </w:r>
      <w:r w:rsidR="0041630F">
        <w:rPr>
          <w:rFonts w:cstheme="minorHAnsi"/>
          <w:lang w:val="en-US"/>
        </w:rPr>
        <w:t xml:space="preserve"> applicable to departments.</w:t>
      </w:r>
      <w:r w:rsidRPr="00F42FF1">
        <w:rPr>
          <w:rFonts w:cstheme="minorHAnsi"/>
          <w:lang w:val="en-US"/>
        </w:rPr>
        <w:t xml:space="preserve"> </w:t>
      </w:r>
    </w:p>
    <w:p w14:paraId="2C604D6B" w14:textId="70D3F56A" w:rsidR="005C12F2" w:rsidRPr="00594A52" w:rsidRDefault="005C12F2" w:rsidP="005C12F2">
      <w:pPr>
        <w:pStyle w:val="Heading1"/>
        <w:ind w:left="720" w:hanging="720"/>
      </w:pPr>
      <w:r>
        <w:t xml:space="preserve">Public Entity Compensation Budget </w:t>
      </w:r>
      <w:r w:rsidR="00090476">
        <w:t>Reductions</w:t>
      </w:r>
      <w:r>
        <w:t xml:space="preserve"> – 2020/21 and 2021 MTEF</w:t>
      </w:r>
    </w:p>
    <w:p w14:paraId="0586DAE4" w14:textId="77777777" w:rsidR="005C12F2" w:rsidRDefault="005C12F2" w:rsidP="005C12F2">
      <w:pPr>
        <w:ind w:left="720" w:hanging="720"/>
        <w:jc w:val="both"/>
        <w:rPr>
          <w:lang w:val="en-US"/>
        </w:rPr>
      </w:pPr>
      <w:r>
        <w:rPr>
          <w:lang w:val="en-US"/>
        </w:rPr>
        <w:t>2.1</w:t>
      </w:r>
      <w:r>
        <w:rPr>
          <w:lang w:val="en-US"/>
        </w:rPr>
        <w:tab/>
        <w:t>South Africa currently faces</w:t>
      </w:r>
      <w:r w:rsidRPr="00C24658">
        <w:rPr>
          <w:lang w:val="en-US"/>
        </w:rPr>
        <w:t xml:space="preserve"> poor economic and fiscal performance.</w:t>
      </w:r>
      <w:r>
        <w:rPr>
          <w:lang w:val="en-US"/>
        </w:rPr>
        <w:t xml:space="preserve"> As a result, current </w:t>
      </w:r>
      <w:r w:rsidR="00A544B0">
        <w:rPr>
          <w:lang w:val="en-US"/>
        </w:rPr>
        <w:t xml:space="preserve">staff establishment and associated </w:t>
      </w:r>
      <w:r>
        <w:rPr>
          <w:lang w:val="en-US"/>
        </w:rPr>
        <w:t>compensation budgets are no longer affordable. A decision has</w:t>
      </w:r>
      <w:r w:rsidR="007B2AD4">
        <w:rPr>
          <w:lang w:val="en-US"/>
        </w:rPr>
        <w:t>,</w:t>
      </w:r>
      <w:r>
        <w:rPr>
          <w:lang w:val="en-US"/>
        </w:rPr>
        <w:t xml:space="preserve"> therefore</w:t>
      </w:r>
      <w:r w:rsidR="007B2AD4">
        <w:rPr>
          <w:lang w:val="en-US"/>
        </w:rPr>
        <w:t>,</w:t>
      </w:r>
      <w:r>
        <w:rPr>
          <w:lang w:val="en-US"/>
        </w:rPr>
        <w:t xml:space="preserve"> been taken</w:t>
      </w:r>
      <w:r w:rsidR="00AA35D8">
        <w:rPr>
          <w:lang w:val="en-US"/>
        </w:rPr>
        <w:t xml:space="preserve"> by the Cabinet</w:t>
      </w:r>
      <w:r>
        <w:rPr>
          <w:lang w:val="en-US"/>
        </w:rPr>
        <w:t xml:space="preserve"> </w:t>
      </w:r>
      <w:r>
        <w:rPr>
          <w:lang w:val="en-US"/>
        </w:rPr>
        <w:t>to cut compensation budgets with the view to improve sustainability of public finances.</w:t>
      </w:r>
    </w:p>
    <w:p w14:paraId="21880837" w14:textId="1B730F62" w:rsidR="005C12F2" w:rsidRPr="005C12F2" w:rsidRDefault="00956765" w:rsidP="008F471B">
      <w:pPr>
        <w:tabs>
          <w:tab w:val="left" w:pos="1560"/>
        </w:tabs>
        <w:ind w:left="720" w:hanging="720"/>
        <w:jc w:val="both"/>
        <w:rPr>
          <w:iCs/>
        </w:rPr>
      </w:pPr>
      <w:r>
        <w:rPr>
          <w:lang w:val="en-US"/>
        </w:rPr>
        <w:t>2</w:t>
      </w:r>
      <w:r w:rsidR="005C12F2">
        <w:rPr>
          <w:lang w:val="en-US"/>
        </w:rPr>
        <w:t>.2</w:t>
      </w:r>
      <w:r w:rsidR="005C12F2">
        <w:rPr>
          <w:lang w:val="en-US"/>
        </w:rPr>
        <w:tab/>
      </w:r>
      <w:r w:rsidR="005C12F2" w:rsidRPr="005C12F2">
        <w:rPr>
          <w:iCs/>
        </w:rPr>
        <w:t xml:space="preserve">At the tabling of the 2020 budget, the Minister of Finance made an announcement that compensation of employees budgets would be cut by R160.2 billion over the 2020 MTEF. These </w:t>
      </w:r>
      <w:r w:rsidR="00090476">
        <w:rPr>
          <w:iCs/>
        </w:rPr>
        <w:t>reductions</w:t>
      </w:r>
      <w:r w:rsidR="005C12F2" w:rsidRPr="005C12F2">
        <w:rPr>
          <w:iCs/>
        </w:rPr>
        <w:t xml:space="preserve"> would be distributed between departments and public entities at both national and provincial spheres of government. </w:t>
      </w:r>
    </w:p>
    <w:p w14:paraId="7AAFDFF9" w14:textId="6516383D" w:rsidR="005C12F2" w:rsidRDefault="00956765" w:rsidP="005C12F2">
      <w:pPr>
        <w:ind w:left="720" w:hanging="720"/>
        <w:jc w:val="both"/>
        <w:rPr>
          <w:iCs/>
        </w:rPr>
      </w:pPr>
      <w:r>
        <w:rPr>
          <w:iCs/>
        </w:rPr>
        <w:t>2</w:t>
      </w:r>
      <w:r w:rsidR="007B2AD4">
        <w:rPr>
          <w:iCs/>
        </w:rPr>
        <w:t>.3</w:t>
      </w:r>
      <w:r w:rsidR="007B2AD4">
        <w:rPr>
          <w:iCs/>
        </w:rPr>
        <w:tab/>
      </w:r>
      <w:r w:rsidR="005C12F2" w:rsidRPr="005C12F2">
        <w:rPr>
          <w:iCs/>
        </w:rPr>
        <w:t>COVID-19 gave rise to further challenges</w:t>
      </w:r>
      <w:r w:rsidR="00A544B0">
        <w:rPr>
          <w:iCs/>
        </w:rPr>
        <w:t>,</w:t>
      </w:r>
      <w:r w:rsidR="005C12F2" w:rsidRPr="005C12F2">
        <w:rPr>
          <w:iCs/>
        </w:rPr>
        <w:t xml:space="preserve"> as the economy has now deteriorated further and the fiscal position has worsened. As a result, further </w:t>
      </w:r>
      <w:r w:rsidR="00090476">
        <w:rPr>
          <w:iCs/>
        </w:rPr>
        <w:t>reductions</w:t>
      </w:r>
      <w:r w:rsidR="005C12F2" w:rsidRPr="005C12F2">
        <w:rPr>
          <w:iCs/>
        </w:rPr>
        <w:t xml:space="preserve"> to compensation budgets have been introduced. The table below sh</w:t>
      </w:r>
      <w:r w:rsidR="00A544B0">
        <w:rPr>
          <w:iCs/>
        </w:rPr>
        <w:t xml:space="preserve">ows proposed </w:t>
      </w:r>
      <w:r w:rsidR="00090476">
        <w:rPr>
          <w:iCs/>
        </w:rPr>
        <w:t>reductions</w:t>
      </w:r>
      <w:r w:rsidR="00A544B0">
        <w:rPr>
          <w:iCs/>
        </w:rPr>
        <w:t xml:space="preserve"> affecting public entities for </w:t>
      </w:r>
      <w:r w:rsidR="005C12F2" w:rsidRPr="005C12F2">
        <w:rPr>
          <w:iCs/>
        </w:rPr>
        <w:t xml:space="preserve">2020/21 and over the 2021 MTEF. </w:t>
      </w:r>
    </w:p>
    <w:p w14:paraId="483043ED" w14:textId="462011CC" w:rsidR="005C12F2" w:rsidRPr="003E0157" w:rsidRDefault="005C12F2" w:rsidP="005C12F2">
      <w:pPr>
        <w:spacing w:after="0"/>
        <w:jc w:val="both"/>
        <w:rPr>
          <w:rFonts w:ascii="Arial" w:hAnsi="Arial" w:cs="Arial"/>
          <w:b/>
          <w:iCs/>
        </w:rPr>
      </w:pPr>
      <w:r w:rsidRPr="003E0157">
        <w:rPr>
          <w:rFonts w:ascii="Arial" w:hAnsi="Arial" w:cs="Arial"/>
          <w:b/>
          <w:iCs/>
        </w:rPr>
        <w:t>Table 1: 2020 MTEF Comp</w:t>
      </w:r>
      <w:r>
        <w:rPr>
          <w:rFonts w:ascii="Arial" w:hAnsi="Arial" w:cs="Arial"/>
          <w:b/>
          <w:iCs/>
        </w:rPr>
        <w:t xml:space="preserve">ensation Budget Baselines and </w:t>
      </w:r>
      <w:r w:rsidR="00090476">
        <w:rPr>
          <w:rFonts w:ascii="Arial" w:hAnsi="Arial" w:cs="Arial"/>
          <w:b/>
          <w:iCs/>
        </w:rPr>
        <w:t>Reductions</w:t>
      </w:r>
    </w:p>
    <w:tbl>
      <w:tblPr>
        <w:tblStyle w:val="GridTable1Light-Accent1"/>
        <w:tblW w:w="8700" w:type="dxa"/>
        <w:tblLook w:val="04A0" w:firstRow="1" w:lastRow="0" w:firstColumn="1" w:lastColumn="0" w:noHBand="0" w:noVBand="1"/>
      </w:tblPr>
      <w:tblGrid>
        <w:gridCol w:w="3114"/>
        <w:gridCol w:w="1417"/>
        <w:gridCol w:w="1418"/>
        <w:gridCol w:w="1417"/>
        <w:gridCol w:w="1334"/>
      </w:tblGrid>
      <w:tr w:rsidR="005C12F2" w:rsidRPr="00D067F1" w14:paraId="5EF8901C" w14:textId="77777777" w:rsidTr="00CD1EE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114" w:type="dxa"/>
          </w:tcPr>
          <w:p w14:paraId="7EAAA74C" w14:textId="77777777" w:rsidR="005C12F2" w:rsidRPr="00D067F1" w:rsidRDefault="005C12F2" w:rsidP="00CD1EE5">
            <w:pPr>
              <w:outlineLvl w:val="0"/>
              <w:rPr>
                <w:rFonts w:ascii="Calibri" w:eastAsia="Times New Roman" w:hAnsi="Calibri" w:cs="Calibri"/>
                <w:color w:val="000000"/>
                <w:lang w:eastAsia="en-ZA"/>
              </w:rPr>
            </w:pPr>
            <w:r w:rsidRPr="00D067F1">
              <w:rPr>
                <w:rFonts w:ascii="Calibri" w:eastAsia="Times New Roman" w:hAnsi="Calibri" w:cs="Calibri"/>
                <w:color w:val="000000"/>
                <w:lang w:eastAsia="en-ZA"/>
              </w:rPr>
              <w:t xml:space="preserve">MTEF </w:t>
            </w:r>
            <w:r>
              <w:rPr>
                <w:rFonts w:ascii="Calibri" w:eastAsia="Times New Roman" w:hAnsi="Calibri" w:cs="Calibri"/>
                <w:color w:val="000000"/>
                <w:lang w:eastAsia="en-ZA"/>
              </w:rPr>
              <w:t>(R’000)</w:t>
            </w:r>
          </w:p>
        </w:tc>
        <w:tc>
          <w:tcPr>
            <w:tcW w:w="1417" w:type="dxa"/>
            <w:noWrap/>
          </w:tcPr>
          <w:p w14:paraId="73E10465" w14:textId="77777777" w:rsidR="005C12F2" w:rsidRPr="00D067F1" w:rsidRDefault="005C12F2" w:rsidP="00CD1EE5">
            <w:pPr>
              <w:jc w:val="right"/>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r w:rsidRPr="00D067F1">
              <w:rPr>
                <w:rFonts w:ascii="Calibri" w:eastAsia="Times New Roman" w:hAnsi="Calibri" w:cs="Calibri"/>
                <w:color w:val="000000"/>
                <w:lang w:eastAsia="en-ZA"/>
              </w:rPr>
              <w:t>2020/21</w:t>
            </w:r>
          </w:p>
        </w:tc>
        <w:tc>
          <w:tcPr>
            <w:tcW w:w="1418" w:type="dxa"/>
            <w:noWrap/>
          </w:tcPr>
          <w:p w14:paraId="1A728537" w14:textId="77777777" w:rsidR="005C12F2" w:rsidRPr="00D067F1" w:rsidRDefault="005C12F2" w:rsidP="00CD1EE5">
            <w:pPr>
              <w:jc w:val="right"/>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r w:rsidRPr="00D067F1">
              <w:rPr>
                <w:rFonts w:ascii="Calibri" w:eastAsia="Times New Roman" w:hAnsi="Calibri" w:cs="Calibri"/>
                <w:color w:val="000000"/>
                <w:lang w:eastAsia="en-ZA"/>
              </w:rPr>
              <w:t>2021/22</w:t>
            </w:r>
          </w:p>
        </w:tc>
        <w:tc>
          <w:tcPr>
            <w:tcW w:w="1417" w:type="dxa"/>
            <w:noWrap/>
          </w:tcPr>
          <w:p w14:paraId="366D3F76" w14:textId="77777777" w:rsidR="005C12F2" w:rsidRPr="00D067F1" w:rsidRDefault="005C12F2" w:rsidP="00CD1EE5">
            <w:pPr>
              <w:jc w:val="right"/>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r w:rsidRPr="00D067F1">
              <w:rPr>
                <w:rFonts w:ascii="Calibri" w:eastAsia="Times New Roman" w:hAnsi="Calibri" w:cs="Calibri"/>
                <w:color w:val="000000"/>
                <w:lang w:eastAsia="en-ZA"/>
              </w:rPr>
              <w:t>2022/23</w:t>
            </w:r>
          </w:p>
        </w:tc>
        <w:tc>
          <w:tcPr>
            <w:tcW w:w="1334" w:type="dxa"/>
          </w:tcPr>
          <w:p w14:paraId="1828595A" w14:textId="77777777" w:rsidR="005C12F2" w:rsidRPr="00D067F1" w:rsidRDefault="005C12F2" w:rsidP="00CD1EE5">
            <w:pPr>
              <w:jc w:val="right"/>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r w:rsidRPr="00D067F1">
              <w:rPr>
                <w:rFonts w:ascii="Calibri" w:eastAsia="Times New Roman" w:hAnsi="Calibri" w:cs="Calibri"/>
                <w:color w:val="000000"/>
                <w:lang w:eastAsia="en-ZA"/>
              </w:rPr>
              <w:t>2023/24</w:t>
            </w:r>
          </w:p>
        </w:tc>
      </w:tr>
      <w:tr w:rsidR="002C67D2" w:rsidRPr="006C4047" w14:paraId="26591342" w14:textId="77777777" w:rsidTr="00CD1EE5">
        <w:trPr>
          <w:trHeight w:val="290"/>
        </w:trPr>
        <w:tc>
          <w:tcPr>
            <w:cnfStyle w:val="001000000000" w:firstRow="0" w:lastRow="0" w:firstColumn="1" w:lastColumn="0" w:oddVBand="0" w:evenVBand="0" w:oddHBand="0" w:evenHBand="0" w:firstRowFirstColumn="0" w:firstRowLastColumn="0" w:lastRowFirstColumn="0" w:lastRowLastColumn="0"/>
            <w:tcW w:w="3114" w:type="dxa"/>
          </w:tcPr>
          <w:p w14:paraId="00BD67C7" w14:textId="77777777" w:rsidR="002C67D2" w:rsidRDefault="002C67D2" w:rsidP="002C67D2">
            <w:pPr>
              <w:outlineLvl w:val="0"/>
              <w:rPr>
                <w:rFonts w:ascii="Calibri" w:eastAsia="Times New Roman" w:hAnsi="Calibri" w:cs="Calibri"/>
                <w:color w:val="000000"/>
                <w:lang w:eastAsia="en-ZA"/>
              </w:rPr>
            </w:pPr>
            <w:r>
              <w:rPr>
                <w:rFonts w:ascii="Calibri" w:eastAsia="Times New Roman" w:hAnsi="Calibri" w:cs="Calibri"/>
                <w:color w:val="000000"/>
                <w:lang w:eastAsia="en-ZA"/>
              </w:rPr>
              <w:t>Original COE baselines</w:t>
            </w:r>
          </w:p>
        </w:tc>
        <w:tc>
          <w:tcPr>
            <w:tcW w:w="1417" w:type="dxa"/>
            <w:noWrap/>
          </w:tcPr>
          <w:p w14:paraId="7D42FC74" w14:textId="77777777" w:rsidR="002C67D2" w:rsidRPr="00E8077A" w:rsidRDefault="002C67D2" w:rsidP="002C67D2">
            <w:pPr>
              <w:jc w:val="right"/>
              <w:cnfStyle w:val="000000000000" w:firstRow="0" w:lastRow="0" w:firstColumn="0" w:lastColumn="0" w:oddVBand="0" w:evenVBand="0" w:oddHBand="0" w:evenHBand="0" w:firstRowFirstColumn="0" w:firstRowLastColumn="0" w:lastRowFirstColumn="0" w:lastRowLastColumn="0"/>
              <w:rPr>
                <w:b/>
              </w:rPr>
            </w:pPr>
            <w:r w:rsidRPr="00E8077A">
              <w:rPr>
                <w:b/>
              </w:rPr>
              <w:t xml:space="preserve"> 65 841 901 </w:t>
            </w:r>
          </w:p>
        </w:tc>
        <w:tc>
          <w:tcPr>
            <w:tcW w:w="1418" w:type="dxa"/>
            <w:noWrap/>
          </w:tcPr>
          <w:p w14:paraId="0DDBF311" w14:textId="77777777" w:rsidR="002C67D2" w:rsidRPr="00E8077A" w:rsidRDefault="002C67D2" w:rsidP="002C67D2">
            <w:pPr>
              <w:jc w:val="right"/>
              <w:cnfStyle w:val="000000000000" w:firstRow="0" w:lastRow="0" w:firstColumn="0" w:lastColumn="0" w:oddVBand="0" w:evenVBand="0" w:oddHBand="0" w:evenHBand="0" w:firstRowFirstColumn="0" w:firstRowLastColumn="0" w:lastRowFirstColumn="0" w:lastRowLastColumn="0"/>
              <w:rPr>
                <w:b/>
              </w:rPr>
            </w:pPr>
            <w:r w:rsidRPr="00E8077A">
              <w:rPr>
                <w:b/>
              </w:rPr>
              <w:t xml:space="preserve"> 69 889 064 </w:t>
            </w:r>
          </w:p>
        </w:tc>
        <w:tc>
          <w:tcPr>
            <w:tcW w:w="1417" w:type="dxa"/>
            <w:noWrap/>
          </w:tcPr>
          <w:p w14:paraId="4A089B08" w14:textId="77777777" w:rsidR="002C67D2" w:rsidRPr="00E8077A" w:rsidRDefault="002C67D2" w:rsidP="002C67D2">
            <w:pPr>
              <w:jc w:val="right"/>
              <w:cnfStyle w:val="000000000000" w:firstRow="0" w:lastRow="0" w:firstColumn="0" w:lastColumn="0" w:oddVBand="0" w:evenVBand="0" w:oddHBand="0" w:evenHBand="0" w:firstRowFirstColumn="0" w:firstRowLastColumn="0" w:lastRowFirstColumn="0" w:lastRowLastColumn="0"/>
              <w:rPr>
                <w:b/>
              </w:rPr>
            </w:pPr>
            <w:r w:rsidRPr="00E8077A">
              <w:rPr>
                <w:b/>
              </w:rPr>
              <w:t xml:space="preserve"> 74 010 631 </w:t>
            </w:r>
          </w:p>
        </w:tc>
        <w:tc>
          <w:tcPr>
            <w:tcW w:w="1334" w:type="dxa"/>
          </w:tcPr>
          <w:p w14:paraId="4730632A" w14:textId="77777777" w:rsidR="002C67D2" w:rsidRPr="006C4047" w:rsidRDefault="002C67D2" w:rsidP="002C67D2">
            <w:pPr>
              <w:jc w:val="right"/>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p>
        </w:tc>
      </w:tr>
      <w:tr w:rsidR="00A544B0" w:rsidRPr="006C4047" w14:paraId="1AC79B77" w14:textId="77777777" w:rsidTr="00CD1EE5">
        <w:trPr>
          <w:trHeight w:val="290"/>
        </w:trPr>
        <w:tc>
          <w:tcPr>
            <w:cnfStyle w:val="001000000000" w:firstRow="0" w:lastRow="0" w:firstColumn="1" w:lastColumn="0" w:oddVBand="0" w:evenVBand="0" w:oddHBand="0" w:evenHBand="0" w:firstRowFirstColumn="0" w:firstRowLastColumn="0" w:lastRowFirstColumn="0" w:lastRowLastColumn="0"/>
            <w:tcW w:w="3114" w:type="dxa"/>
          </w:tcPr>
          <w:p w14:paraId="42448C04" w14:textId="57934870" w:rsidR="00A544B0" w:rsidRPr="006C4047" w:rsidRDefault="00A544B0" w:rsidP="00A544B0">
            <w:pPr>
              <w:outlineLvl w:val="0"/>
              <w:rPr>
                <w:rFonts w:ascii="Calibri" w:eastAsia="Times New Roman" w:hAnsi="Calibri" w:cs="Calibri"/>
                <w:color w:val="000000"/>
                <w:lang w:eastAsia="en-ZA"/>
              </w:rPr>
            </w:pPr>
            <w:r>
              <w:rPr>
                <w:rFonts w:ascii="Calibri" w:eastAsia="Times New Roman" w:hAnsi="Calibri" w:cs="Calibri"/>
                <w:color w:val="000000"/>
                <w:lang w:eastAsia="en-ZA"/>
              </w:rPr>
              <w:t xml:space="preserve">2020 MTEF </w:t>
            </w:r>
            <w:r w:rsidR="00090476">
              <w:rPr>
                <w:rFonts w:ascii="Calibri" w:eastAsia="Times New Roman" w:hAnsi="Calibri" w:cs="Calibri"/>
                <w:color w:val="000000"/>
                <w:lang w:eastAsia="en-ZA"/>
              </w:rPr>
              <w:t>reductions</w:t>
            </w:r>
          </w:p>
        </w:tc>
        <w:tc>
          <w:tcPr>
            <w:tcW w:w="1417" w:type="dxa"/>
            <w:noWrap/>
            <w:hideMark/>
          </w:tcPr>
          <w:p w14:paraId="5ABC4267" w14:textId="77777777" w:rsidR="00A544B0" w:rsidRPr="00CF0088" w:rsidRDefault="00A544B0" w:rsidP="00A544B0">
            <w:pPr>
              <w:jc w:val="right"/>
              <w:cnfStyle w:val="000000000000" w:firstRow="0" w:lastRow="0" w:firstColumn="0" w:lastColumn="0" w:oddVBand="0" w:evenVBand="0" w:oddHBand="0" w:evenHBand="0" w:firstRowFirstColumn="0" w:firstRowLastColumn="0" w:lastRowFirstColumn="0" w:lastRowLastColumn="0"/>
            </w:pPr>
            <w:r w:rsidRPr="00C22403">
              <w:t xml:space="preserve">-1 199 466 </w:t>
            </w:r>
          </w:p>
        </w:tc>
        <w:tc>
          <w:tcPr>
            <w:tcW w:w="1418" w:type="dxa"/>
            <w:noWrap/>
            <w:hideMark/>
          </w:tcPr>
          <w:p w14:paraId="034C582A" w14:textId="77777777" w:rsidR="00A544B0" w:rsidRPr="00CF0088" w:rsidRDefault="00A544B0" w:rsidP="00A544B0">
            <w:pPr>
              <w:jc w:val="right"/>
              <w:cnfStyle w:val="000000000000" w:firstRow="0" w:lastRow="0" w:firstColumn="0" w:lastColumn="0" w:oddVBand="0" w:evenVBand="0" w:oddHBand="0" w:evenHBand="0" w:firstRowFirstColumn="0" w:firstRowLastColumn="0" w:lastRowFirstColumn="0" w:lastRowLastColumn="0"/>
            </w:pPr>
            <w:r w:rsidRPr="00C22403">
              <w:t xml:space="preserve">-1 760 192 </w:t>
            </w:r>
          </w:p>
        </w:tc>
        <w:tc>
          <w:tcPr>
            <w:tcW w:w="1417" w:type="dxa"/>
            <w:noWrap/>
            <w:hideMark/>
          </w:tcPr>
          <w:p w14:paraId="22DF0892" w14:textId="77777777" w:rsidR="00A544B0" w:rsidRDefault="00A544B0" w:rsidP="00A544B0">
            <w:pPr>
              <w:jc w:val="right"/>
              <w:cnfStyle w:val="000000000000" w:firstRow="0" w:lastRow="0" w:firstColumn="0" w:lastColumn="0" w:oddVBand="0" w:evenVBand="0" w:oddHBand="0" w:evenHBand="0" w:firstRowFirstColumn="0" w:firstRowLastColumn="0" w:lastRowFirstColumn="0" w:lastRowLastColumn="0"/>
            </w:pPr>
            <w:r w:rsidRPr="00C22403">
              <w:t xml:space="preserve">-2 182 652 </w:t>
            </w:r>
          </w:p>
        </w:tc>
        <w:tc>
          <w:tcPr>
            <w:tcW w:w="1334" w:type="dxa"/>
          </w:tcPr>
          <w:p w14:paraId="61587D31" w14:textId="77777777" w:rsidR="00A544B0" w:rsidRPr="006C4047" w:rsidRDefault="00A544B0" w:rsidP="00A544B0">
            <w:pPr>
              <w:jc w:val="right"/>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p>
        </w:tc>
      </w:tr>
      <w:tr w:rsidR="00141417" w:rsidRPr="00820434" w14:paraId="480EA3F6" w14:textId="77777777" w:rsidTr="00CD1EE5">
        <w:trPr>
          <w:trHeight w:val="323"/>
        </w:trPr>
        <w:tc>
          <w:tcPr>
            <w:cnfStyle w:val="001000000000" w:firstRow="0" w:lastRow="0" w:firstColumn="1" w:lastColumn="0" w:oddVBand="0" w:evenVBand="0" w:oddHBand="0" w:evenHBand="0" w:firstRowFirstColumn="0" w:firstRowLastColumn="0" w:lastRowFirstColumn="0" w:lastRowLastColumn="0"/>
            <w:tcW w:w="3114" w:type="dxa"/>
          </w:tcPr>
          <w:p w14:paraId="76A3F5D3" w14:textId="1431F265" w:rsidR="00141417" w:rsidRDefault="00141417" w:rsidP="00141417">
            <w:pPr>
              <w:outlineLvl w:val="0"/>
              <w:rPr>
                <w:rFonts w:ascii="Calibri" w:eastAsia="Times New Roman" w:hAnsi="Calibri" w:cs="Calibri"/>
                <w:color w:val="000000"/>
                <w:lang w:eastAsia="en-ZA"/>
              </w:rPr>
            </w:pPr>
            <w:r>
              <w:rPr>
                <w:rFonts w:ascii="Calibri" w:eastAsia="Times New Roman" w:hAnsi="Calibri" w:cs="Calibri"/>
                <w:color w:val="000000"/>
                <w:lang w:eastAsia="en-ZA"/>
              </w:rPr>
              <w:t xml:space="preserve">2021 MTEF </w:t>
            </w:r>
            <w:r w:rsidR="00090476">
              <w:rPr>
                <w:rFonts w:ascii="Calibri" w:eastAsia="Times New Roman" w:hAnsi="Calibri" w:cs="Calibri"/>
                <w:color w:val="000000"/>
                <w:lang w:eastAsia="en-ZA"/>
              </w:rPr>
              <w:t>reductions</w:t>
            </w:r>
            <w:r>
              <w:rPr>
                <w:rFonts w:ascii="Calibri" w:eastAsia="Times New Roman" w:hAnsi="Calibri" w:cs="Calibri"/>
                <w:color w:val="000000"/>
                <w:lang w:eastAsia="en-ZA"/>
              </w:rPr>
              <w:t>*</w:t>
            </w:r>
          </w:p>
        </w:tc>
        <w:tc>
          <w:tcPr>
            <w:tcW w:w="1417" w:type="dxa"/>
            <w:noWrap/>
          </w:tcPr>
          <w:p w14:paraId="0B1A9871" w14:textId="77777777" w:rsidR="00141417" w:rsidRPr="006C4047" w:rsidRDefault="00141417" w:rsidP="00141417">
            <w:pPr>
              <w:jc w:val="right"/>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p>
        </w:tc>
        <w:tc>
          <w:tcPr>
            <w:tcW w:w="1418" w:type="dxa"/>
            <w:noWrap/>
          </w:tcPr>
          <w:p w14:paraId="1656D309" w14:textId="5150E65E" w:rsidR="00141417" w:rsidRPr="00F8561C" w:rsidRDefault="00141417" w:rsidP="00141417">
            <w:pPr>
              <w:jc w:val="right"/>
              <w:cnfStyle w:val="000000000000" w:firstRow="0" w:lastRow="0" w:firstColumn="0" w:lastColumn="0" w:oddVBand="0" w:evenVBand="0" w:oddHBand="0" w:evenHBand="0" w:firstRowFirstColumn="0" w:firstRowLastColumn="0" w:lastRowFirstColumn="0" w:lastRowLastColumn="0"/>
            </w:pPr>
            <w:r w:rsidRPr="003538D9">
              <w:t xml:space="preserve">-785 328 </w:t>
            </w:r>
          </w:p>
        </w:tc>
        <w:tc>
          <w:tcPr>
            <w:tcW w:w="1417" w:type="dxa"/>
            <w:noWrap/>
          </w:tcPr>
          <w:p w14:paraId="1BEACBA6" w14:textId="27A28050" w:rsidR="00141417" w:rsidRPr="00F8561C" w:rsidRDefault="00141417" w:rsidP="00141417">
            <w:pPr>
              <w:jc w:val="right"/>
              <w:cnfStyle w:val="000000000000" w:firstRow="0" w:lastRow="0" w:firstColumn="0" w:lastColumn="0" w:oddVBand="0" w:evenVBand="0" w:oddHBand="0" w:evenHBand="0" w:firstRowFirstColumn="0" w:firstRowLastColumn="0" w:lastRowFirstColumn="0" w:lastRowLastColumn="0"/>
            </w:pPr>
            <w:r w:rsidRPr="003538D9">
              <w:t xml:space="preserve">-1 043 184 </w:t>
            </w:r>
          </w:p>
        </w:tc>
        <w:tc>
          <w:tcPr>
            <w:tcW w:w="1334" w:type="dxa"/>
          </w:tcPr>
          <w:p w14:paraId="19936ECE" w14:textId="20214093" w:rsidR="00141417" w:rsidRDefault="00141417" w:rsidP="00141417">
            <w:pPr>
              <w:jc w:val="right"/>
              <w:cnfStyle w:val="000000000000" w:firstRow="0" w:lastRow="0" w:firstColumn="0" w:lastColumn="0" w:oddVBand="0" w:evenVBand="0" w:oddHBand="0" w:evenHBand="0" w:firstRowFirstColumn="0" w:firstRowLastColumn="0" w:lastRowFirstColumn="0" w:lastRowLastColumn="0"/>
            </w:pPr>
            <w:r w:rsidRPr="003538D9">
              <w:t xml:space="preserve">-1 889 372 </w:t>
            </w:r>
          </w:p>
        </w:tc>
      </w:tr>
    </w:tbl>
    <w:p w14:paraId="74B4E703" w14:textId="0945D480" w:rsidR="005C12F2" w:rsidRPr="00820434" w:rsidRDefault="005C12F2" w:rsidP="005C12F2">
      <w:pPr>
        <w:spacing w:after="0"/>
        <w:jc w:val="both"/>
        <w:rPr>
          <w:rStyle w:val="Emphasis"/>
        </w:rPr>
      </w:pPr>
      <w:r w:rsidRPr="00820434">
        <w:rPr>
          <w:rStyle w:val="Emphasis"/>
        </w:rPr>
        <w:t xml:space="preserve">* - </w:t>
      </w:r>
      <w:r w:rsidR="00090476">
        <w:rPr>
          <w:rStyle w:val="Emphasis"/>
        </w:rPr>
        <w:t>Reductions</w:t>
      </w:r>
      <w:r w:rsidRPr="00820434">
        <w:rPr>
          <w:rStyle w:val="Emphasis"/>
        </w:rPr>
        <w:t xml:space="preserve"> for the 2021 MTEF are applied on reduced baselines from the 2020 MTEF </w:t>
      </w:r>
      <w:r w:rsidR="00090476">
        <w:rPr>
          <w:rStyle w:val="Emphasis"/>
        </w:rPr>
        <w:t>reductions</w:t>
      </w:r>
      <w:r w:rsidRPr="00820434">
        <w:rPr>
          <w:rStyle w:val="Emphasis"/>
        </w:rPr>
        <w:t xml:space="preserve">. The 2023/24 financial year budgets are arrived at by first increasing the 2022/23 compensation budgets by 4.4 per cent before they are reduced by </w:t>
      </w:r>
      <w:r w:rsidR="007C0A5F">
        <w:rPr>
          <w:rStyle w:val="Emphasis"/>
        </w:rPr>
        <w:t xml:space="preserve">8 </w:t>
      </w:r>
      <w:r w:rsidRPr="00820434">
        <w:rPr>
          <w:rStyle w:val="Emphasis"/>
        </w:rPr>
        <w:t>per cent</w:t>
      </w:r>
    </w:p>
    <w:p w14:paraId="5B0F4557" w14:textId="77777777" w:rsidR="005C12F2" w:rsidRDefault="005C12F2" w:rsidP="005C12F2">
      <w:pPr>
        <w:ind w:left="720" w:hanging="720"/>
        <w:jc w:val="both"/>
        <w:rPr>
          <w:iCs/>
        </w:rPr>
      </w:pPr>
    </w:p>
    <w:p w14:paraId="73E40021" w14:textId="6CA9DE36" w:rsidR="00A461AD" w:rsidRDefault="00956765" w:rsidP="005C12F2">
      <w:pPr>
        <w:ind w:left="720" w:hanging="720"/>
        <w:jc w:val="both"/>
        <w:rPr>
          <w:iCs/>
        </w:rPr>
      </w:pPr>
      <w:r>
        <w:rPr>
          <w:iCs/>
        </w:rPr>
        <w:t>2</w:t>
      </w:r>
      <w:r w:rsidR="00417AC6">
        <w:rPr>
          <w:iCs/>
        </w:rPr>
        <w:t>.4</w:t>
      </w:r>
      <w:r w:rsidR="00417AC6">
        <w:rPr>
          <w:iCs/>
        </w:rPr>
        <w:tab/>
        <w:t>A</w:t>
      </w:r>
      <w:r w:rsidR="00417AC6" w:rsidRPr="005C12F2">
        <w:rPr>
          <w:iCs/>
        </w:rPr>
        <w:t xml:space="preserve">ll </w:t>
      </w:r>
      <w:r w:rsidR="00C96EC5">
        <w:rPr>
          <w:iCs/>
        </w:rPr>
        <w:t>public entities</w:t>
      </w:r>
      <w:r w:rsidR="00C96EC5" w:rsidRPr="005C12F2">
        <w:rPr>
          <w:iCs/>
        </w:rPr>
        <w:t xml:space="preserve"> </w:t>
      </w:r>
      <w:r w:rsidR="00417AC6" w:rsidRPr="005C12F2">
        <w:rPr>
          <w:iCs/>
        </w:rPr>
        <w:t>should implement compensation</w:t>
      </w:r>
      <w:r w:rsidR="0069662E">
        <w:rPr>
          <w:iCs/>
        </w:rPr>
        <w:t xml:space="preserve"> budgets</w:t>
      </w:r>
      <w:r w:rsidR="00417AC6" w:rsidRPr="005C12F2">
        <w:rPr>
          <w:iCs/>
        </w:rPr>
        <w:t xml:space="preserve"> </w:t>
      </w:r>
      <w:r w:rsidR="00090476">
        <w:rPr>
          <w:iCs/>
        </w:rPr>
        <w:t>reductions</w:t>
      </w:r>
      <w:r w:rsidR="00417AC6" w:rsidRPr="005C12F2">
        <w:rPr>
          <w:iCs/>
        </w:rPr>
        <w:t xml:space="preserve"> as announced by the Minister of Finance.</w:t>
      </w:r>
      <w:r w:rsidR="00417AC6">
        <w:rPr>
          <w:iCs/>
        </w:rPr>
        <w:t xml:space="preserve"> </w:t>
      </w:r>
      <w:r w:rsidR="00090476">
        <w:rPr>
          <w:iCs/>
        </w:rPr>
        <w:t>Reductions</w:t>
      </w:r>
      <w:r w:rsidR="00A461AD">
        <w:rPr>
          <w:iCs/>
        </w:rPr>
        <w:t xml:space="preserve"> implemented </w:t>
      </w:r>
      <w:r w:rsidR="005C12F2" w:rsidRPr="005C12F2">
        <w:rPr>
          <w:iCs/>
        </w:rPr>
        <w:t xml:space="preserve">for public entities </w:t>
      </w:r>
      <w:r w:rsidR="005C12F2">
        <w:rPr>
          <w:iCs/>
        </w:rPr>
        <w:t xml:space="preserve">as detailed above </w:t>
      </w:r>
      <w:r w:rsidR="005C12F2" w:rsidRPr="005C12F2">
        <w:rPr>
          <w:iCs/>
        </w:rPr>
        <w:t>have been distributed among those that receive transfers from the fiscus</w:t>
      </w:r>
      <w:r w:rsidR="00A461AD">
        <w:rPr>
          <w:iCs/>
        </w:rPr>
        <w:t xml:space="preserve">. </w:t>
      </w:r>
      <w:r w:rsidR="00090476">
        <w:rPr>
          <w:iCs/>
        </w:rPr>
        <w:t>Reductions</w:t>
      </w:r>
      <w:r w:rsidR="00A461AD">
        <w:rPr>
          <w:iCs/>
        </w:rPr>
        <w:t xml:space="preserve"> applied on compensation budgets are arrived at considering the proportion of compensation of employees and transfers received by each entity on the total budget of the entity.</w:t>
      </w:r>
    </w:p>
    <w:p w14:paraId="0CE5F6EA" w14:textId="2673848A" w:rsidR="005C12F2" w:rsidRPr="005C12F2" w:rsidRDefault="00956765" w:rsidP="005C12F2">
      <w:pPr>
        <w:ind w:left="720" w:hanging="720"/>
        <w:jc w:val="both"/>
        <w:rPr>
          <w:iCs/>
        </w:rPr>
      </w:pPr>
      <w:r>
        <w:rPr>
          <w:iCs/>
        </w:rPr>
        <w:lastRenderedPageBreak/>
        <w:t>2</w:t>
      </w:r>
      <w:r w:rsidR="00A461AD">
        <w:rPr>
          <w:iCs/>
        </w:rPr>
        <w:t>.5</w:t>
      </w:r>
      <w:r w:rsidR="00A461AD">
        <w:rPr>
          <w:iCs/>
        </w:rPr>
        <w:tab/>
      </w:r>
      <w:r w:rsidR="004D642D">
        <w:rPr>
          <w:iCs/>
        </w:rPr>
        <w:t xml:space="preserve">To contribute towards </w:t>
      </w:r>
      <w:r w:rsidR="00090476">
        <w:rPr>
          <w:iCs/>
        </w:rPr>
        <w:t xml:space="preserve">the </w:t>
      </w:r>
      <w:r w:rsidR="004D642D">
        <w:rPr>
          <w:iCs/>
        </w:rPr>
        <w:t>fiscal consolidation objective, p</w:t>
      </w:r>
      <w:r w:rsidR="0061086F">
        <w:rPr>
          <w:iCs/>
        </w:rPr>
        <w:t>ublic entities not</w:t>
      </w:r>
      <w:r w:rsidR="00A461AD">
        <w:rPr>
          <w:iCs/>
        </w:rPr>
        <w:t xml:space="preserve"> receiving transfers from the fiscus (that is, those generating own revenue) are expected to </w:t>
      </w:r>
      <w:r w:rsidR="005C12F2" w:rsidRPr="005C12F2">
        <w:rPr>
          <w:iCs/>
        </w:rPr>
        <w:t xml:space="preserve">implement the same compensation budget </w:t>
      </w:r>
      <w:r w:rsidR="00090476">
        <w:rPr>
          <w:iCs/>
        </w:rPr>
        <w:t>reductions</w:t>
      </w:r>
      <w:r w:rsidR="005C12F2" w:rsidRPr="005C12F2">
        <w:rPr>
          <w:iCs/>
        </w:rPr>
        <w:t xml:space="preserve"> </w:t>
      </w:r>
      <w:r w:rsidR="00417AC6">
        <w:rPr>
          <w:iCs/>
        </w:rPr>
        <w:t xml:space="preserve">applying to </w:t>
      </w:r>
      <w:r w:rsidR="00A461AD">
        <w:rPr>
          <w:iCs/>
        </w:rPr>
        <w:t>the rest of public entities</w:t>
      </w:r>
      <w:r w:rsidR="00417AC6">
        <w:rPr>
          <w:iCs/>
        </w:rPr>
        <w:t xml:space="preserve"> </w:t>
      </w:r>
      <w:r w:rsidR="005C12F2" w:rsidRPr="005C12F2">
        <w:rPr>
          <w:iCs/>
        </w:rPr>
        <w:t>as follows:</w:t>
      </w:r>
    </w:p>
    <w:p w14:paraId="6D3E2B79" w14:textId="0F8F6ABF" w:rsidR="005C12F2" w:rsidRPr="003E0157" w:rsidRDefault="005C12F2" w:rsidP="005C12F2">
      <w:pPr>
        <w:spacing w:after="0"/>
        <w:jc w:val="both"/>
        <w:rPr>
          <w:rFonts w:ascii="Arial" w:hAnsi="Arial" w:cs="Arial"/>
          <w:b/>
          <w:iCs/>
        </w:rPr>
      </w:pPr>
      <w:r w:rsidRPr="003E0157">
        <w:rPr>
          <w:rFonts w:ascii="Arial" w:hAnsi="Arial" w:cs="Arial"/>
          <w:b/>
          <w:iCs/>
        </w:rPr>
        <w:t xml:space="preserve">Table </w:t>
      </w:r>
      <w:r>
        <w:rPr>
          <w:rFonts w:ascii="Arial" w:hAnsi="Arial" w:cs="Arial"/>
          <w:b/>
          <w:iCs/>
        </w:rPr>
        <w:t>2</w:t>
      </w:r>
      <w:r w:rsidRPr="003E0157">
        <w:rPr>
          <w:rFonts w:ascii="Arial" w:hAnsi="Arial" w:cs="Arial"/>
          <w:b/>
          <w:iCs/>
        </w:rPr>
        <w:t>: 2020 MTEF Comp</w:t>
      </w:r>
      <w:r>
        <w:rPr>
          <w:rFonts w:ascii="Arial" w:hAnsi="Arial" w:cs="Arial"/>
          <w:b/>
          <w:iCs/>
        </w:rPr>
        <w:t xml:space="preserve">ensation Budget </w:t>
      </w:r>
      <w:r w:rsidR="00090476">
        <w:rPr>
          <w:rFonts w:ascii="Arial" w:hAnsi="Arial" w:cs="Arial"/>
          <w:b/>
          <w:iCs/>
        </w:rPr>
        <w:t>Reductions</w:t>
      </w:r>
      <w:r>
        <w:rPr>
          <w:rFonts w:ascii="Arial" w:hAnsi="Arial" w:cs="Arial"/>
          <w:b/>
          <w:iCs/>
        </w:rPr>
        <w:t xml:space="preserve"> Parameters</w:t>
      </w:r>
    </w:p>
    <w:tbl>
      <w:tblPr>
        <w:tblStyle w:val="GridTable1Light-Accent1"/>
        <w:tblW w:w="8700" w:type="dxa"/>
        <w:tblLook w:val="04A0" w:firstRow="1" w:lastRow="0" w:firstColumn="1" w:lastColumn="0" w:noHBand="0" w:noVBand="1"/>
      </w:tblPr>
      <w:tblGrid>
        <w:gridCol w:w="1740"/>
        <w:gridCol w:w="1740"/>
        <w:gridCol w:w="1740"/>
        <w:gridCol w:w="1740"/>
        <w:gridCol w:w="1740"/>
      </w:tblGrid>
      <w:tr w:rsidR="005C12F2" w:rsidRPr="00D067F1" w14:paraId="4C50E7A1" w14:textId="77777777" w:rsidTr="00CD1EE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40" w:type="dxa"/>
          </w:tcPr>
          <w:p w14:paraId="0516B134" w14:textId="77777777" w:rsidR="005C12F2" w:rsidRPr="00D067F1" w:rsidRDefault="005C12F2" w:rsidP="00CD1EE5">
            <w:pPr>
              <w:jc w:val="right"/>
              <w:outlineLvl w:val="0"/>
              <w:rPr>
                <w:rFonts w:ascii="Calibri" w:eastAsia="Times New Roman" w:hAnsi="Calibri" w:cs="Calibri"/>
                <w:color w:val="000000"/>
                <w:lang w:eastAsia="en-ZA"/>
              </w:rPr>
            </w:pPr>
            <w:r w:rsidRPr="00D067F1">
              <w:rPr>
                <w:rFonts w:ascii="Calibri" w:eastAsia="Times New Roman" w:hAnsi="Calibri" w:cs="Calibri"/>
                <w:color w:val="000000"/>
                <w:lang w:eastAsia="en-ZA"/>
              </w:rPr>
              <w:t>MTEF PERIOD</w:t>
            </w:r>
          </w:p>
        </w:tc>
        <w:tc>
          <w:tcPr>
            <w:tcW w:w="1740" w:type="dxa"/>
            <w:noWrap/>
          </w:tcPr>
          <w:p w14:paraId="5298CF43" w14:textId="77777777" w:rsidR="005C12F2" w:rsidRPr="00D067F1" w:rsidRDefault="005C12F2" w:rsidP="00CD1EE5">
            <w:pPr>
              <w:jc w:val="right"/>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r w:rsidRPr="00D067F1">
              <w:rPr>
                <w:rFonts w:ascii="Calibri" w:eastAsia="Times New Roman" w:hAnsi="Calibri" w:cs="Calibri"/>
                <w:color w:val="000000"/>
                <w:lang w:eastAsia="en-ZA"/>
              </w:rPr>
              <w:t>2020/21</w:t>
            </w:r>
          </w:p>
        </w:tc>
        <w:tc>
          <w:tcPr>
            <w:tcW w:w="1740" w:type="dxa"/>
            <w:noWrap/>
          </w:tcPr>
          <w:p w14:paraId="4B542018" w14:textId="77777777" w:rsidR="005C12F2" w:rsidRPr="00D067F1" w:rsidRDefault="005C12F2" w:rsidP="00CD1EE5">
            <w:pPr>
              <w:jc w:val="right"/>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r w:rsidRPr="00D067F1">
              <w:rPr>
                <w:rFonts w:ascii="Calibri" w:eastAsia="Times New Roman" w:hAnsi="Calibri" w:cs="Calibri"/>
                <w:color w:val="000000"/>
                <w:lang w:eastAsia="en-ZA"/>
              </w:rPr>
              <w:t>2021/22</w:t>
            </w:r>
          </w:p>
        </w:tc>
        <w:tc>
          <w:tcPr>
            <w:tcW w:w="1740" w:type="dxa"/>
            <w:noWrap/>
          </w:tcPr>
          <w:p w14:paraId="756021FD" w14:textId="77777777" w:rsidR="005C12F2" w:rsidRPr="00D067F1" w:rsidRDefault="005C12F2" w:rsidP="00CD1EE5">
            <w:pPr>
              <w:jc w:val="right"/>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r w:rsidRPr="00D067F1">
              <w:rPr>
                <w:rFonts w:ascii="Calibri" w:eastAsia="Times New Roman" w:hAnsi="Calibri" w:cs="Calibri"/>
                <w:color w:val="000000"/>
                <w:lang w:eastAsia="en-ZA"/>
              </w:rPr>
              <w:t>2022/23</w:t>
            </w:r>
          </w:p>
        </w:tc>
        <w:tc>
          <w:tcPr>
            <w:tcW w:w="1740" w:type="dxa"/>
          </w:tcPr>
          <w:p w14:paraId="0404EEFC" w14:textId="77777777" w:rsidR="005C12F2" w:rsidRPr="00D067F1" w:rsidRDefault="005C12F2" w:rsidP="00CD1EE5">
            <w:pPr>
              <w:jc w:val="right"/>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r w:rsidRPr="00D067F1">
              <w:rPr>
                <w:rFonts w:ascii="Calibri" w:eastAsia="Times New Roman" w:hAnsi="Calibri" w:cs="Calibri"/>
                <w:color w:val="000000"/>
                <w:lang w:eastAsia="en-ZA"/>
              </w:rPr>
              <w:t>2023/24</w:t>
            </w:r>
          </w:p>
        </w:tc>
      </w:tr>
      <w:tr w:rsidR="00AC12B8" w:rsidRPr="006C4047" w14:paraId="2E9702B6" w14:textId="77777777" w:rsidTr="00CD1EE5">
        <w:trPr>
          <w:trHeight w:val="290"/>
        </w:trPr>
        <w:tc>
          <w:tcPr>
            <w:cnfStyle w:val="001000000000" w:firstRow="0" w:lastRow="0" w:firstColumn="1" w:lastColumn="0" w:oddVBand="0" w:evenVBand="0" w:oddHBand="0" w:evenHBand="0" w:firstRowFirstColumn="0" w:firstRowLastColumn="0" w:lastRowFirstColumn="0" w:lastRowLastColumn="0"/>
            <w:tcW w:w="1740" w:type="dxa"/>
          </w:tcPr>
          <w:p w14:paraId="56D2DA29" w14:textId="77777777" w:rsidR="00AC12B8" w:rsidRPr="006C4047" w:rsidRDefault="00AC12B8" w:rsidP="00AC12B8">
            <w:pPr>
              <w:jc w:val="right"/>
              <w:outlineLvl w:val="0"/>
              <w:rPr>
                <w:rFonts w:ascii="Calibri" w:eastAsia="Times New Roman" w:hAnsi="Calibri" w:cs="Calibri"/>
                <w:color w:val="000000"/>
                <w:lang w:eastAsia="en-ZA"/>
              </w:rPr>
            </w:pPr>
            <w:r>
              <w:rPr>
                <w:rFonts w:ascii="Calibri" w:eastAsia="Times New Roman" w:hAnsi="Calibri" w:cs="Calibri"/>
                <w:color w:val="000000"/>
                <w:lang w:eastAsia="en-ZA"/>
              </w:rPr>
              <w:t>2020 MTEF</w:t>
            </w:r>
          </w:p>
        </w:tc>
        <w:tc>
          <w:tcPr>
            <w:tcW w:w="1740" w:type="dxa"/>
            <w:noWrap/>
            <w:hideMark/>
          </w:tcPr>
          <w:p w14:paraId="72084C74" w14:textId="77777777" w:rsidR="00AC12B8" w:rsidRPr="006C4047" w:rsidRDefault="00AC12B8" w:rsidP="00AC12B8">
            <w:pPr>
              <w:jc w:val="right"/>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r w:rsidRPr="007C596E">
              <w:t>-6,1%</w:t>
            </w:r>
          </w:p>
        </w:tc>
        <w:tc>
          <w:tcPr>
            <w:tcW w:w="1740" w:type="dxa"/>
            <w:noWrap/>
            <w:hideMark/>
          </w:tcPr>
          <w:p w14:paraId="4369FE1E" w14:textId="77777777" w:rsidR="00AC12B8" w:rsidRPr="006C4047" w:rsidRDefault="00AC12B8" w:rsidP="00AC12B8">
            <w:pPr>
              <w:jc w:val="right"/>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r w:rsidRPr="007C596E">
              <w:t>-8,3%</w:t>
            </w:r>
          </w:p>
        </w:tc>
        <w:tc>
          <w:tcPr>
            <w:tcW w:w="1740" w:type="dxa"/>
            <w:noWrap/>
            <w:hideMark/>
          </w:tcPr>
          <w:p w14:paraId="5446A807" w14:textId="77777777" w:rsidR="00AC12B8" w:rsidRPr="006C4047" w:rsidRDefault="00AC12B8" w:rsidP="00AC12B8">
            <w:pPr>
              <w:jc w:val="right"/>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r w:rsidRPr="007C596E">
              <w:t>-9,7%</w:t>
            </w:r>
          </w:p>
        </w:tc>
        <w:tc>
          <w:tcPr>
            <w:tcW w:w="1740" w:type="dxa"/>
          </w:tcPr>
          <w:p w14:paraId="35A8FA4C" w14:textId="77777777" w:rsidR="00AC12B8" w:rsidRPr="006C4047" w:rsidRDefault="00AC12B8" w:rsidP="00AC12B8">
            <w:pPr>
              <w:jc w:val="right"/>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p>
        </w:tc>
      </w:tr>
      <w:tr w:rsidR="004D642D" w:rsidRPr="00820434" w14:paraId="55AB1A76" w14:textId="77777777" w:rsidTr="00CD1EE5">
        <w:trPr>
          <w:trHeight w:val="323"/>
        </w:trPr>
        <w:tc>
          <w:tcPr>
            <w:cnfStyle w:val="001000000000" w:firstRow="0" w:lastRow="0" w:firstColumn="1" w:lastColumn="0" w:oddVBand="0" w:evenVBand="0" w:oddHBand="0" w:evenHBand="0" w:firstRowFirstColumn="0" w:firstRowLastColumn="0" w:lastRowFirstColumn="0" w:lastRowLastColumn="0"/>
            <w:tcW w:w="1740" w:type="dxa"/>
          </w:tcPr>
          <w:p w14:paraId="724FD66F" w14:textId="77777777" w:rsidR="004D642D" w:rsidRDefault="004D642D" w:rsidP="004D642D">
            <w:pPr>
              <w:jc w:val="right"/>
              <w:outlineLvl w:val="0"/>
              <w:rPr>
                <w:rFonts w:ascii="Calibri" w:eastAsia="Times New Roman" w:hAnsi="Calibri" w:cs="Calibri"/>
                <w:color w:val="000000"/>
                <w:lang w:eastAsia="en-ZA"/>
              </w:rPr>
            </w:pPr>
            <w:r>
              <w:rPr>
                <w:rFonts w:ascii="Calibri" w:eastAsia="Times New Roman" w:hAnsi="Calibri" w:cs="Calibri"/>
                <w:color w:val="000000"/>
                <w:lang w:eastAsia="en-ZA"/>
              </w:rPr>
              <w:t>2021 MTEF*</w:t>
            </w:r>
          </w:p>
        </w:tc>
        <w:tc>
          <w:tcPr>
            <w:tcW w:w="1740" w:type="dxa"/>
            <w:noWrap/>
          </w:tcPr>
          <w:p w14:paraId="7BE243C0" w14:textId="77777777" w:rsidR="004D642D" w:rsidRPr="006C4047" w:rsidRDefault="004D642D" w:rsidP="004D642D">
            <w:pPr>
              <w:jc w:val="right"/>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p>
        </w:tc>
        <w:tc>
          <w:tcPr>
            <w:tcW w:w="1740" w:type="dxa"/>
            <w:noWrap/>
          </w:tcPr>
          <w:p w14:paraId="324E1E74" w14:textId="62FC04CA" w:rsidR="004D642D" w:rsidRPr="00820434" w:rsidRDefault="004D642D" w:rsidP="004D642D">
            <w:pPr>
              <w:jc w:val="right"/>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r>
              <w:t>-</w:t>
            </w:r>
            <w:r w:rsidRPr="00811229">
              <w:t>3,7%</w:t>
            </w:r>
          </w:p>
        </w:tc>
        <w:tc>
          <w:tcPr>
            <w:tcW w:w="1740" w:type="dxa"/>
            <w:noWrap/>
          </w:tcPr>
          <w:p w14:paraId="79F30BCC" w14:textId="240A196C" w:rsidR="004D642D" w:rsidRPr="00820434" w:rsidRDefault="004D642D" w:rsidP="004D642D">
            <w:pPr>
              <w:jc w:val="right"/>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r>
              <w:t>-</w:t>
            </w:r>
            <w:r w:rsidRPr="00811229">
              <w:t>4,6%</w:t>
            </w:r>
          </w:p>
        </w:tc>
        <w:tc>
          <w:tcPr>
            <w:tcW w:w="1740" w:type="dxa"/>
          </w:tcPr>
          <w:p w14:paraId="7C189222" w14:textId="29B6A333" w:rsidR="004D642D" w:rsidRPr="00820434" w:rsidRDefault="004D642D" w:rsidP="004D642D">
            <w:pPr>
              <w:jc w:val="right"/>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ZA"/>
              </w:rPr>
            </w:pPr>
            <w:r>
              <w:t>-</w:t>
            </w:r>
            <w:r w:rsidRPr="00811229">
              <w:t>8,0%</w:t>
            </w:r>
          </w:p>
        </w:tc>
      </w:tr>
    </w:tbl>
    <w:p w14:paraId="2023014D" w14:textId="007FFC87" w:rsidR="005C12F2" w:rsidRPr="00820434" w:rsidRDefault="005C12F2" w:rsidP="005C12F2">
      <w:pPr>
        <w:spacing w:after="0"/>
        <w:jc w:val="both"/>
        <w:rPr>
          <w:rStyle w:val="Emphasis"/>
        </w:rPr>
      </w:pPr>
      <w:r w:rsidRPr="00820434">
        <w:rPr>
          <w:rStyle w:val="Emphasis"/>
        </w:rPr>
        <w:t xml:space="preserve">* - </w:t>
      </w:r>
      <w:r w:rsidR="00090476">
        <w:rPr>
          <w:rStyle w:val="Emphasis"/>
        </w:rPr>
        <w:t>Reductions</w:t>
      </w:r>
      <w:r w:rsidRPr="00820434">
        <w:rPr>
          <w:rStyle w:val="Emphasis"/>
        </w:rPr>
        <w:t xml:space="preserve"> for the 2021 MTEF are applied on reduced baselines from the 2020 MTEF </w:t>
      </w:r>
      <w:r w:rsidR="00090476">
        <w:rPr>
          <w:rStyle w:val="Emphasis"/>
        </w:rPr>
        <w:t>reductions</w:t>
      </w:r>
      <w:r w:rsidRPr="00820434">
        <w:rPr>
          <w:rStyle w:val="Emphasis"/>
        </w:rPr>
        <w:t xml:space="preserve">. The 2023/24 financial year budgets are arrived at by first increasing the 2022/23 compensation budgets by 4.4 per cent before they are reduced by </w:t>
      </w:r>
      <w:r w:rsidR="004D642D">
        <w:rPr>
          <w:rStyle w:val="Emphasis"/>
        </w:rPr>
        <w:t>8</w:t>
      </w:r>
      <w:r w:rsidRPr="00820434">
        <w:rPr>
          <w:rStyle w:val="Emphasis"/>
        </w:rPr>
        <w:t>.</w:t>
      </w:r>
      <w:r w:rsidR="004D642D">
        <w:rPr>
          <w:rStyle w:val="Emphasis"/>
        </w:rPr>
        <w:t>0</w:t>
      </w:r>
      <w:r w:rsidRPr="00820434">
        <w:rPr>
          <w:rStyle w:val="Emphasis"/>
        </w:rPr>
        <w:t xml:space="preserve"> per cent</w:t>
      </w:r>
    </w:p>
    <w:p w14:paraId="79F5B80B" w14:textId="77777777" w:rsidR="005C12F2" w:rsidRDefault="005C12F2" w:rsidP="005C12F2">
      <w:pPr>
        <w:ind w:left="720" w:hanging="720"/>
        <w:jc w:val="both"/>
        <w:rPr>
          <w:iCs/>
        </w:rPr>
      </w:pPr>
    </w:p>
    <w:p w14:paraId="62A26C5D" w14:textId="2FEEA985" w:rsidR="0082271F" w:rsidRDefault="00956765" w:rsidP="005C12F2">
      <w:pPr>
        <w:ind w:left="720" w:hanging="720"/>
        <w:jc w:val="both"/>
        <w:rPr>
          <w:iCs/>
        </w:rPr>
      </w:pPr>
      <w:r>
        <w:rPr>
          <w:iCs/>
        </w:rPr>
        <w:t>2</w:t>
      </w:r>
      <w:r w:rsidR="001362C7">
        <w:rPr>
          <w:iCs/>
        </w:rPr>
        <w:t>.6</w:t>
      </w:r>
      <w:r w:rsidR="001362C7">
        <w:rPr>
          <w:iCs/>
        </w:rPr>
        <w:tab/>
      </w:r>
      <w:r w:rsidR="005C12F2" w:rsidRPr="005C12F2">
        <w:rPr>
          <w:iCs/>
        </w:rPr>
        <w:t>Public entities not receiving transfers</w:t>
      </w:r>
      <w:r w:rsidR="004D23C0">
        <w:rPr>
          <w:iCs/>
        </w:rPr>
        <w:t xml:space="preserve"> and those receiving partial transfers</w:t>
      </w:r>
      <w:r w:rsidR="005C12F2" w:rsidRPr="005C12F2">
        <w:rPr>
          <w:iCs/>
        </w:rPr>
        <w:t xml:space="preserve"> from the fiscus will be expected to keep these </w:t>
      </w:r>
      <w:r w:rsidR="001362C7">
        <w:rPr>
          <w:iCs/>
        </w:rPr>
        <w:t>savings</w:t>
      </w:r>
      <w:r w:rsidR="005C12F2" w:rsidRPr="005C12F2">
        <w:rPr>
          <w:iCs/>
        </w:rPr>
        <w:t xml:space="preserve"> within their bank accounts until a central decision is taken on how these funds are to be utilised. </w:t>
      </w:r>
      <w:r w:rsidR="004D23C0">
        <w:rPr>
          <w:iCs/>
        </w:rPr>
        <w:t xml:space="preserve">Public entities receiving partial transfers have been sent allocation letters indicating </w:t>
      </w:r>
      <w:r w:rsidR="00090476">
        <w:rPr>
          <w:iCs/>
        </w:rPr>
        <w:t>reductions</w:t>
      </w:r>
      <w:r w:rsidR="004D23C0">
        <w:rPr>
          <w:iCs/>
        </w:rPr>
        <w:t xml:space="preserve"> effected on compensation of employees.</w:t>
      </w:r>
      <w:r w:rsidR="0082271F">
        <w:rPr>
          <w:iCs/>
        </w:rPr>
        <w:t xml:space="preserve"> The difference between these </w:t>
      </w:r>
      <w:r w:rsidR="00090476">
        <w:rPr>
          <w:iCs/>
        </w:rPr>
        <w:t>reductions</w:t>
      </w:r>
      <w:r w:rsidR="0082271F">
        <w:rPr>
          <w:iCs/>
        </w:rPr>
        <w:t xml:space="preserve"> and those generate</w:t>
      </w:r>
      <w:r w:rsidR="008C4BFA">
        <w:rPr>
          <w:iCs/>
        </w:rPr>
        <w:t>d</w:t>
      </w:r>
      <w:r w:rsidR="0082271F">
        <w:rPr>
          <w:iCs/>
        </w:rPr>
        <w:t xml:space="preserve"> from computations described in Table 2 above is also to be kept within their bank accounts until further communication.</w:t>
      </w:r>
    </w:p>
    <w:p w14:paraId="602EB7CF" w14:textId="77777777" w:rsidR="00DF1C26" w:rsidRPr="00043370" w:rsidRDefault="00043370" w:rsidP="00E00D86">
      <w:pPr>
        <w:pStyle w:val="Heading1"/>
        <w:tabs>
          <w:tab w:val="left" w:pos="540"/>
        </w:tabs>
        <w:ind w:left="720" w:hanging="720"/>
      </w:pPr>
      <w:r w:rsidRPr="00043370">
        <w:t>Wage Agre</w:t>
      </w:r>
      <w:r>
        <w:t>e</w:t>
      </w:r>
      <w:r w:rsidRPr="00043370">
        <w:t>ment</w:t>
      </w:r>
      <w:r w:rsidR="0041630F">
        <w:t>s</w:t>
      </w:r>
    </w:p>
    <w:p w14:paraId="7B4E643A" w14:textId="00F5316B" w:rsidR="000B13C9" w:rsidRDefault="000B13C9" w:rsidP="000B13C9">
      <w:pPr>
        <w:pStyle w:val="ListParagraph"/>
        <w:numPr>
          <w:ilvl w:val="1"/>
          <w:numId w:val="1"/>
        </w:numPr>
        <w:ind w:left="540" w:hanging="540"/>
        <w:jc w:val="both"/>
        <w:rPr>
          <w:rFonts w:cstheme="minorHAnsi"/>
        </w:rPr>
      </w:pPr>
      <w:r>
        <w:rPr>
          <w:rFonts w:cstheme="minorHAnsi"/>
        </w:rPr>
        <w:t>For departments at the national and provincial spheres of government, t</w:t>
      </w:r>
      <w:r w:rsidRPr="00473ECC">
        <w:rPr>
          <w:rFonts w:cstheme="minorHAnsi"/>
        </w:rPr>
        <w:t xml:space="preserve">he </w:t>
      </w:r>
      <w:r>
        <w:rPr>
          <w:rFonts w:cstheme="minorHAnsi"/>
        </w:rPr>
        <w:t>2020/21 last leg of the agreement has not been implemented</w:t>
      </w:r>
      <w:r w:rsidRPr="000E4DE3">
        <w:rPr>
          <w:rFonts w:cstheme="minorHAnsi"/>
        </w:rPr>
        <w:t>.</w:t>
      </w:r>
      <w:r w:rsidR="000E4DE3" w:rsidRPr="000E4DE3">
        <w:rPr>
          <w:rFonts w:cstheme="minorHAnsi"/>
        </w:rPr>
        <w:t xml:space="preserve"> </w:t>
      </w:r>
      <w:r w:rsidR="000E4DE3" w:rsidRPr="00A67BBA">
        <w:rPr>
          <w:rFonts w:cstheme="minorHAnsi"/>
          <w:iCs/>
        </w:rPr>
        <w:t>Government and Organised Labour are engaging with a view to resolve the current wage impasse and other salient matters with a view to reaching an amicable solution. Government will allow these engagements to unfold, while working on measures to manage the wage bill to ensure fiscal sustainability and provision of services to South Africans.</w:t>
      </w:r>
      <w:r>
        <w:rPr>
          <w:rFonts w:cstheme="minorHAnsi"/>
        </w:rPr>
        <w:t xml:space="preserve"> </w:t>
      </w:r>
    </w:p>
    <w:p w14:paraId="32C28081" w14:textId="4DA0047A" w:rsidR="000E4DE3" w:rsidRPr="00473ECC" w:rsidRDefault="000E4DE3" w:rsidP="000B13C9">
      <w:pPr>
        <w:pStyle w:val="ListParagraph"/>
        <w:numPr>
          <w:ilvl w:val="1"/>
          <w:numId w:val="1"/>
        </w:numPr>
        <w:ind w:left="540" w:hanging="540"/>
        <w:jc w:val="both"/>
        <w:rPr>
          <w:rFonts w:cstheme="minorHAnsi"/>
        </w:rPr>
      </w:pPr>
      <w:r w:rsidRPr="005C12F2">
        <w:rPr>
          <w:iCs/>
        </w:rPr>
        <w:t>As with decisions that h</w:t>
      </w:r>
      <w:r w:rsidR="00A462CB">
        <w:rPr>
          <w:iCs/>
        </w:rPr>
        <w:t>ave been taken with respect to P</w:t>
      </w:r>
      <w:r w:rsidRPr="005C12F2">
        <w:rPr>
          <w:iCs/>
        </w:rPr>
        <w:t xml:space="preserve">ublic </w:t>
      </w:r>
      <w:r w:rsidR="00A462CB">
        <w:rPr>
          <w:iCs/>
        </w:rPr>
        <w:t>S</w:t>
      </w:r>
      <w:r w:rsidRPr="005C12F2">
        <w:rPr>
          <w:iCs/>
        </w:rPr>
        <w:t xml:space="preserve">ervice </w:t>
      </w:r>
      <w:r w:rsidR="00A462CB">
        <w:rPr>
          <w:iCs/>
        </w:rPr>
        <w:t>A</w:t>
      </w:r>
      <w:r w:rsidRPr="005C12F2">
        <w:rPr>
          <w:iCs/>
        </w:rPr>
        <w:t xml:space="preserve">ct employees, </w:t>
      </w:r>
      <w:r>
        <w:rPr>
          <w:iCs/>
        </w:rPr>
        <w:t xml:space="preserve">all public </w:t>
      </w:r>
      <w:r w:rsidRPr="005C12F2">
        <w:rPr>
          <w:iCs/>
        </w:rPr>
        <w:t xml:space="preserve">entities are </w:t>
      </w:r>
      <w:r>
        <w:rPr>
          <w:iCs/>
        </w:rPr>
        <w:t>advised to engage with Labour at respective sectoral bargaining councils</w:t>
      </w:r>
      <w:r w:rsidRPr="005C12F2">
        <w:rPr>
          <w:iCs/>
        </w:rPr>
        <w:t xml:space="preserve"> to suspend salary adjustments both in-year and over the 2021 MTEF</w:t>
      </w:r>
      <w:r>
        <w:rPr>
          <w:iCs/>
        </w:rPr>
        <w:t xml:space="preserve"> considering the economic and fiscal challenges the country faces</w:t>
      </w:r>
    </w:p>
    <w:p w14:paraId="73B0E201" w14:textId="53F3A77E" w:rsidR="000B13C9" w:rsidRDefault="000B13C9" w:rsidP="002F7005">
      <w:pPr>
        <w:pStyle w:val="ListParagraph"/>
        <w:numPr>
          <w:ilvl w:val="1"/>
          <w:numId w:val="1"/>
        </w:numPr>
        <w:ind w:left="540" w:hanging="540"/>
        <w:jc w:val="both"/>
        <w:rPr>
          <w:rFonts w:cstheme="minorHAnsi"/>
        </w:rPr>
      </w:pPr>
      <w:r>
        <w:rPr>
          <w:rFonts w:cstheme="minorHAnsi"/>
        </w:rPr>
        <w:t xml:space="preserve">In view of the above, and for the purposes of the current budget process, the following </w:t>
      </w:r>
      <w:r w:rsidR="00B7447F">
        <w:rPr>
          <w:rFonts w:cstheme="minorHAnsi"/>
        </w:rPr>
        <w:t xml:space="preserve">indicative </w:t>
      </w:r>
      <w:r>
        <w:rPr>
          <w:rFonts w:cstheme="minorHAnsi"/>
        </w:rPr>
        <w:t>parameters are relevant for compiling personnel budgets for public entities:</w:t>
      </w:r>
    </w:p>
    <w:p w14:paraId="63DB291C" w14:textId="77777777" w:rsidR="00EB2655" w:rsidRPr="002F7005" w:rsidRDefault="00EB2655" w:rsidP="002F7005">
      <w:pPr>
        <w:ind w:left="1260" w:hanging="720"/>
        <w:jc w:val="both"/>
        <w:rPr>
          <w:rFonts w:cstheme="minorHAnsi"/>
          <w:b/>
        </w:rPr>
      </w:pPr>
      <w:r w:rsidRPr="002F7005">
        <w:rPr>
          <w:rFonts w:cstheme="minorHAnsi"/>
          <w:b/>
        </w:rPr>
        <w:t>Cost of living adjustments</w:t>
      </w:r>
    </w:p>
    <w:p w14:paraId="69C514F9" w14:textId="456D6BB5" w:rsidR="00B42931" w:rsidRPr="00956765" w:rsidRDefault="00956765" w:rsidP="00174DD0">
      <w:pPr>
        <w:pStyle w:val="ListParagraph"/>
        <w:ind w:left="0"/>
        <w:jc w:val="both"/>
        <w:rPr>
          <w:rFonts w:cstheme="minorHAnsi"/>
        </w:rPr>
      </w:pPr>
      <w:r>
        <w:rPr>
          <w:rFonts w:cstheme="minorHAnsi"/>
        </w:rPr>
        <w:t>3.</w:t>
      </w:r>
      <w:r w:rsidR="00174DD0">
        <w:rPr>
          <w:rFonts w:cstheme="minorHAnsi"/>
        </w:rPr>
        <w:t>3</w:t>
      </w:r>
      <w:r>
        <w:rPr>
          <w:rFonts w:cstheme="minorHAnsi"/>
        </w:rPr>
        <w:t>.1</w:t>
      </w:r>
      <w:r>
        <w:rPr>
          <w:rFonts w:cstheme="minorHAnsi"/>
        </w:rPr>
        <w:tab/>
      </w:r>
      <w:r w:rsidR="00EB3A0E" w:rsidRPr="00956765">
        <w:rPr>
          <w:rFonts w:cstheme="minorHAnsi"/>
        </w:rPr>
        <w:t xml:space="preserve">The </w:t>
      </w:r>
      <w:r w:rsidR="00466743" w:rsidRPr="00956765">
        <w:rPr>
          <w:rFonts w:cstheme="minorHAnsi"/>
        </w:rPr>
        <w:t xml:space="preserve">cost-of-living adjustment in </w:t>
      </w:r>
      <w:r w:rsidR="00F8153F" w:rsidRPr="00956765">
        <w:rPr>
          <w:rFonts w:cstheme="minorHAnsi"/>
        </w:rPr>
        <w:t>20</w:t>
      </w:r>
      <w:r w:rsidR="00A719D0" w:rsidRPr="00956765">
        <w:rPr>
          <w:rFonts w:cstheme="minorHAnsi"/>
        </w:rPr>
        <w:t>20</w:t>
      </w:r>
      <w:r w:rsidR="00466743" w:rsidRPr="00956765">
        <w:rPr>
          <w:rFonts w:cstheme="minorHAnsi"/>
        </w:rPr>
        <w:t>/</w:t>
      </w:r>
      <w:r w:rsidR="00A719D0" w:rsidRPr="00956765">
        <w:rPr>
          <w:rFonts w:cstheme="minorHAnsi"/>
        </w:rPr>
        <w:t>21</w:t>
      </w:r>
      <w:r w:rsidR="00F8153F" w:rsidRPr="00956765">
        <w:rPr>
          <w:rFonts w:cstheme="minorHAnsi"/>
        </w:rPr>
        <w:t xml:space="preserve"> </w:t>
      </w:r>
      <w:r w:rsidR="00EB3A0E" w:rsidRPr="00956765">
        <w:rPr>
          <w:rFonts w:cstheme="minorHAnsi"/>
        </w:rPr>
        <w:t>is as f</w:t>
      </w:r>
      <w:r w:rsidR="00466743" w:rsidRPr="00956765">
        <w:rPr>
          <w:rFonts w:cstheme="minorHAnsi"/>
        </w:rPr>
        <w:t>ollow</w:t>
      </w:r>
      <w:r w:rsidR="00EB3A0E" w:rsidRPr="00956765">
        <w:rPr>
          <w:rFonts w:cstheme="minorHAnsi"/>
        </w:rPr>
        <w:t>s:</w:t>
      </w:r>
    </w:p>
    <w:p w14:paraId="48C293AF" w14:textId="77777777" w:rsidR="00EB3A0E" w:rsidRPr="0061086F" w:rsidRDefault="00A719D0" w:rsidP="006164A6">
      <w:pPr>
        <w:pStyle w:val="ListParagraph"/>
        <w:numPr>
          <w:ilvl w:val="1"/>
          <w:numId w:val="3"/>
        </w:numPr>
        <w:jc w:val="both"/>
        <w:rPr>
          <w:rFonts w:cstheme="minorHAnsi"/>
        </w:rPr>
      </w:pPr>
      <w:r w:rsidRPr="0061086F">
        <w:rPr>
          <w:rFonts w:cstheme="minorHAnsi"/>
        </w:rPr>
        <w:t>0%</w:t>
      </w:r>
      <w:r w:rsidR="00F8153F" w:rsidRPr="0061086F">
        <w:rPr>
          <w:rFonts w:cstheme="minorHAnsi"/>
        </w:rPr>
        <w:t xml:space="preserve"> </w:t>
      </w:r>
      <w:r w:rsidR="00EB3A0E" w:rsidRPr="0061086F">
        <w:rPr>
          <w:rFonts w:cstheme="minorHAnsi"/>
        </w:rPr>
        <w:t xml:space="preserve">for </w:t>
      </w:r>
      <w:r w:rsidR="0061086F">
        <w:rPr>
          <w:rFonts w:cstheme="minorHAnsi"/>
        </w:rPr>
        <w:t>all staff</w:t>
      </w:r>
    </w:p>
    <w:p w14:paraId="6BA88ABF" w14:textId="11C9DDEA" w:rsidR="00EB3A0E" w:rsidRPr="00956765" w:rsidRDefault="00956765" w:rsidP="00174DD0">
      <w:pPr>
        <w:pStyle w:val="ListParagraph"/>
        <w:ind w:left="0"/>
        <w:jc w:val="both"/>
        <w:rPr>
          <w:rFonts w:cstheme="minorHAnsi"/>
        </w:rPr>
      </w:pPr>
      <w:r>
        <w:rPr>
          <w:rFonts w:cstheme="minorHAnsi"/>
        </w:rPr>
        <w:t>3.</w:t>
      </w:r>
      <w:r w:rsidR="00174DD0">
        <w:rPr>
          <w:rFonts w:cstheme="minorHAnsi"/>
        </w:rPr>
        <w:t>3</w:t>
      </w:r>
      <w:r>
        <w:rPr>
          <w:rFonts w:cstheme="minorHAnsi"/>
        </w:rPr>
        <w:t>.2</w:t>
      </w:r>
      <w:r>
        <w:rPr>
          <w:rFonts w:cstheme="minorHAnsi"/>
        </w:rPr>
        <w:tab/>
      </w:r>
      <w:r w:rsidR="00A719D0" w:rsidRPr="00956765">
        <w:rPr>
          <w:rFonts w:cstheme="minorHAnsi"/>
        </w:rPr>
        <w:t>The cost-of-living adjustment in 2021/22 is as follows:</w:t>
      </w:r>
    </w:p>
    <w:p w14:paraId="3BDFA9FD" w14:textId="77777777" w:rsidR="00EB3A0E" w:rsidRPr="0061086F" w:rsidRDefault="0061086F" w:rsidP="00E75BDB">
      <w:pPr>
        <w:pStyle w:val="ListParagraph"/>
        <w:numPr>
          <w:ilvl w:val="1"/>
          <w:numId w:val="3"/>
        </w:numPr>
        <w:ind w:left="1890" w:hanging="450"/>
        <w:jc w:val="both"/>
        <w:rPr>
          <w:rFonts w:cstheme="minorHAnsi"/>
        </w:rPr>
      </w:pPr>
      <w:r w:rsidRPr="0061086F">
        <w:rPr>
          <w:rFonts w:cstheme="minorHAnsi"/>
        </w:rPr>
        <w:t xml:space="preserve">0% for </w:t>
      </w:r>
      <w:r>
        <w:rPr>
          <w:rFonts w:cstheme="minorHAnsi"/>
        </w:rPr>
        <w:t>all staff</w:t>
      </w:r>
    </w:p>
    <w:p w14:paraId="0E891845" w14:textId="77777777" w:rsidR="00EB3A0E" w:rsidRPr="00956765" w:rsidRDefault="00EB3A0E" w:rsidP="00956765">
      <w:pPr>
        <w:pStyle w:val="ListParagraph"/>
        <w:numPr>
          <w:ilvl w:val="2"/>
          <w:numId w:val="36"/>
        </w:numPr>
        <w:jc w:val="both"/>
        <w:rPr>
          <w:rFonts w:cstheme="minorHAnsi"/>
        </w:rPr>
      </w:pPr>
      <w:r w:rsidRPr="00956765">
        <w:rPr>
          <w:rFonts w:cstheme="minorHAnsi"/>
        </w:rPr>
        <w:t xml:space="preserve">The </w:t>
      </w:r>
      <w:r w:rsidR="008B5E6D" w:rsidRPr="00956765">
        <w:rPr>
          <w:rFonts w:cstheme="minorHAnsi"/>
        </w:rPr>
        <w:t>cost-of-living adjustment in 202</w:t>
      </w:r>
      <w:r w:rsidR="00C53B75" w:rsidRPr="00956765">
        <w:rPr>
          <w:rFonts w:cstheme="minorHAnsi"/>
        </w:rPr>
        <w:t>2</w:t>
      </w:r>
      <w:r w:rsidR="008B5E6D" w:rsidRPr="00956765">
        <w:rPr>
          <w:rFonts w:cstheme="minorHAnsi"/>
        </w:rPr>
        <w:t>/2</w:t>
      </w:r>
      <w:r w:rsidR="00C53B75" w:rsidRPr="00956765">
        <w:rPr>
          <w:rFonts w:cstheme="minorHAnsi"/>
        </w:rPr>
        <w:t>3</w:t>
      </w:r>
      <w:r w:rsidRPr="00956765">
        <w:rPr>
          <w:rFonts w:cstheme="minorHAnsi"/>
        </w:rPr>
        <w:t xml:space="preserve"> is as follows:</w:t>
      </w:r>
    </w:p>
    <w:p w14:paraId="3C74BBE0" w14:textId="77777777" w:rsidR="00EB3A0E" w:rsidRPr="0061086F" w:rsidRDefault="0061086F" w:rsidP="00007637">
      <w:pPr>
        <w:pStyle w:val="ListParagraph"/>
        <w:numPr>
          <w:ilvl w:val="1"/>
          <w:numId w:val="3"/>
        </w:numPr>
        <w:jc w:val="both"/>
        <w:rPr>
          <w:rFonts w:cstheme="minorHAnsi"/>
        </w:rPr>
      </w:pPr>
      <w:r w:rsidRPr="0061086F">
        <w:rPr>
          <w:rFonts w:cstheme="minorHAnsi"/>
        </w:rPr>
        <w:t xml:space="preserve">0% for </w:t>
      </w:r>
      <w:r>
        <w:rPr>
          <w:rFonts w:cstheme="minorHAnsi"/>
        </w:rPr>
        <w:t>all staff</w:t>
      </w:r>
    </w:p>
    <w:p w14:paraId="65584BAD" w14:textId="77777777" w:rsidR="00EB3A0E" w:rsidRPr="00956765" w:rsidRDefault="00EB3A0E" w:rsidP="00956765">
      <w:pPr>
        <w:pStyle w:val="ListParagraph"/>
        <w:numPr>
          <w:ilvl w:val="2"/>
          <w:numId w:val="36"/>
        </w:numPr>
        <w:jc w:val="both"/>
        <w:rPr>
          <w:rFonts w:cstheme="minorHAnsi"/>
        </w:rPr>
      </w:pPr>
      <w:r w:rsidRPr="00956765">
        <w:rPr>
          <w:rFonts w:cstheme="minorHAnsi"/>
        </w:rPr>
        <w:lastRenderedPageBreak/>
        <w:t xml:space="preserve">The </w:t>
      </w:r>
      <w:r w:rsidR="008B5E6D" w:rsidRPr="00956765">
        <w:rPr>
          <w:rFonts w:cstheme="minorHAnsi"/>
        </w:rPr>
        <w:t>cost-of-living adjustment in 20</w:t>
      </w:r>
      <w:r w:rsidR="00C53B75" w:rsidRPr="00956765">
        <w:rPr>
          <w:rFonts w:cstheme="minorHAnsi"/>
        </w:rPr>
        <w:t>23</w:t>
      </w:r>
      <w:r w:rsidR="008B5E6D" w:rsidRPr="00956765">
        <w:rPr>
          <w:rFonts w:cstheme="minorHAnsi"/>
        </w:rPr>
        <w:t>/2</w:t>
      </w:r>
      <w:r w:rsidR="00C53B75" w:rsidRPr="00956765">
        <w:rPr>
          <w:rFonts w:cstheme="minorHAnsi"/>
        </w:rPr>
        <w:t>4</w:t>
      </w:r>
      <w:r w:rsidRPr="00956765">
        <w:rPr>
          <w:rFonts w:cstheme="minorHAnsi"/>
        </w:rPr>
        <w:t xml:space="preserve"> is as follows:</w:t>
      </w:r>
    </w:p>
    <w:p w14:paraId="075C1ABF" w14:textId="77777777" w:rsidR="00EB3A0E" w:rsidRPr="0061086F" w:rsidRDefault="0061086F" w:rsidP="00EF7FB4">
      <w:pPr>
        <w:pStyle w:val="ListParagraph"/>
        <w:numPr>
          <w:ilvl w:val="1"/>
          <w:numId w:val="3"/>
        </w:numPr>
        <w:ind w:left="2340" w:hanging="900"/>
        <w:jc w:val="both"/>
        <w:rPr>
          <w:rFonts w:cstheme="minorHAnsi"/>
        </w:rPr>
      </w:pPr>
      <w:r w:rsidRPr="0061086F">
        <w:rPr>
          <w:rFonts w:cstheme="minorHAnsi"/>
        </w:rPr>
        <w:t xml:space="preserve">0% for </w:t>
      </w:r>
      <w:r>
        <w:rPr>
          <w:rFonts w:cstheme="minorHAnsi"/>
        </w:rPr>
        <w:t>all staff</w:t>
      </w:r>
    </w:p>
    <w:p w14:paraId="737ABE44" w14:textId="57CD5107" w:rsidR="002776D3" w:rsidRPr="002F7005" w:rsidRDefault="002776D3" w:rsidP="00E00D86">
      <w:pPr>
        <w:ind w:left="1260" w:hanging="720"/>
        <w:jc w:val="both"/>
        <w:rPr>
          <w:rFonts w:cstheme="minorHAnsi"/>
          <w:b/>
        </w:rPr>
      </w:pPr>
      <w:r w:rsidRPr="002F7005">
        <w:rPr>
          <w:rFonts w:cstheme="minorHAnsi"/>
          <w:b/>
        </w:rPr>
        <w:t>Medical Allowance</w:t>
      </w:r>
      <w:r w:rsidR="00A73904">
        <w:rPr>
          <w:rFonts w:cstheme="minorHAnsi"/>
          <w:b/>
        </w:rPr>
        <w:t xml:space="preserve"> (where applicable)</w:t>
      </w:r>
    </w:p>
    <w:p w14:paraId="46E22F56" w14:textId="004189AA" w:rsidR="004D50CC" w:rsidRDefault="000B13C9" w:rsidP="00A67BBA">
      <w:pPr>
        <w:pStyle w:val="ListParagraph"/>
        <w:numPr>
          <w:ilvl w:val="2"/>
          <w:numId w:val="36"/>
        </w:numPr>
        <w:jc w:val="both"/>
        <w:rPr>
          <w:rFonts w:cstheme="minorHAnsi"/>
        </w:rPr>
      </w:pPr>
      <w:r>
        <w:rPr>
          <w:rFonts w:cstheme="minorHAnsi"/>
        </w:rPr>
        <w:t xml:space="preserve">As per the relevant sectoral wage agreements and </w:t>
      </w:r>
      <w:r w:rsidR="0005464A">
        <w:rPr>
          <w:rFonts w:cstheme="minorHAnsi"/>
        </w:rPr>
        <w:t>public entity</w:t>
      </w:r>
      <w:r>
        <w:rPr>
          <w:rFonts w:cstheme="minorHAnsi"/>
        </w:rPr>
        <w:t>-specific remuneration policies.</w:t>
      </w:r>
    </w:p>
    <w:p w14:paraId="6E3EE12A" w14:textId="51573789" w:rsidR="002776D3" w:rsidRPr="002F7005" w:rsidRDefault="002776D3" w:rsidP="00E00D86">
      <w:pPr>
        <w:ind w:left="1170" w:hanging="630"/>
        <w:jc w:val="both"/>
        <w:rPr>
          <w:rFonts w:cstheme="minorHAnsi"/>
          <w:b/>
        </w:rPr>
      </w:pPr>
      <w:r w:rsidRPr="002F7005">
        <w:rPr>
          <w:rFonts w:cstheme="minorHAnsi"/>
          <w:b/>
        </w:rPr>
        <w:t>Housing Allowance</w:t>
      </w:r>
      <w:r w:rsidR="00A73904">
        <w:rPr>
          <w:rFonts w:cstheme="minorHAnsi"/>
          <w:b/>
        </w:rPr>
        <w:t xml:space="preserve"> (where applicable)</w:t>
      </w:r>
    </w:p>
    <w:p w14:paraId="7D50E9D0" w14:textId="58DB36D4" w:rsidR="00B921D0" w:rsidRDefault="000B13C9" w:rsidP="00A67BBA">
      <w:pPr>
        <w:pStyle w:val="ListParagraph"/>
        <w:numPr>
          <w:ilvl w:val="2"/>
          <w:numId w:val="36"/>
        </w:numPr>
        <w:jc w:val="both"/>
        <w:rPr>
          <w:rFonts w:cstheme="minorHAnsi"/>
        </w:rPr>
      </w:pPr>
      <w:r>
        <w:rPr>
          <w:rFonts w:cstheme="minorHAnsi"/>
        </w:rPr>
        <w:t xml:space="preserve">As per the relevant sectoral wage agreements and </w:t>
      </w:r>
      <w:r w:rsidR="0005464A">
        <w:rPr>
          <w:rFonts w:cstheme="minorHAnsi"/>
        </w:rPr>
        <w:t>public entity</w:t>
      </w:r>
      <w:r>
        <w:rPr>
          <w:rFonts w:cstheme="minorHAnsi"/>
        </w:rPr>
        <w:t>-specific remuneration policies.</w:t>
      </w:r>
      <w:r w:rsidR="00DE7324">
        <w:rPr>
          <w:rFonts w:cstheme="minorHAnsi"/>
        </w:rPr>
        <w:t xml:space="preserve"> </w:t>
      </w:r>
    </w:p>
    <w:p w14:paraId="2426BD96" w14:textId="6EDF4A58" w:rsidR="00700E6B" w:rsidRPr="002F7005" w:rsidRDefault="00700E6B" w:rsidP="00700E6B">
      <w:pPr>
        <w:ind w:left="1170" w:hanging="630"/>
        <w:jc w:val="both"/>
        <w:rPr>
          <w:rFonts w:cstheme="minorHAnsi"/>
          <w:b/>
        </w:rPr>
      </w:pPr>
      <w:r>
        <w:rPr>
          <w:rFonts w:cstheme="minorHAnsi"/>
          <w:b/>
        </w:rPr>
        <w:t>Performance bonus</w:t>
      </w:r>
      <w:r w:rsidR="00A73904">
        <w:rPr>
          <w:rFonts w:cstheme="minorHAnsi"/>
          <w:b/>
        </w:rPr>
        <w:t xml:space="preserve"> (where applicable)</w:t>
      </w:r>
    </w:p>
    <w:p w14:paraId="7D43E20E" w14:textId="49AA7C36" w:rsidR="00700E6B" w:rsidRDefault="000B13C9" w:rsidP="00A67BBA">
      <w:pPr>
        <w:pStyle w:val="ListParagraph"/>
        <w:numPr>
          <w:ilvl w:val="2"/>
          <w:numId w:val="36"/>
        </w:numPr>
        <w:jc w:val="both"/>
        <w:rPr>
          <w:rFonts w:cstheme="minorHAnsi"/>
        </w:rPr>
      </w:pPr>
      <w:r>
        <w:rPr>
          <w:rFonts w:cstheme="minorHAnsi"/>
        </w:rPr>
        <w:t xml:space="preserve">As per the relevant sectoral wage agreements and </w:t>
      </w:r>
      <w:r w:rsidR="0005464A">
        <w:rPr>
          <w:rFonts w:cstheme="minorHAnsi"/>
        </w:rPr>
        <w:t>public entity</w:t>
      </w:r>
      <w:r>
        <w:rPr>
          <w:rFonts w:cstheme="minorHAnsi"/>
        </w:rPr>
        <w:t>-specific remuneration policies.</w:t>
      </w:r>
      <w:r w:rsidR="00700E6B">
        <w:rPr>
          <w:rFonts w:cstheme="minorHAnsi"/>
        </w:rPr>
        <w:t xml:space="preserve"> </w:t>
      </w:r>
    </w:p>
    <w:p w14:paraId="7D573601" w14:textId="6EBA4A76" w:rsidR="008D635F" w:rsidRPr="002F7005" w:rsidRDefault="008D635F" w:rsidP="008D635F">
      <w:pPr>
        <w:ind w:left="1170" w:hanging="630"/>
        <w:jc w:val="both"/>
        <w:rPr>
          <w:rFonts w:cstheme="minorHAnsi"/>
          <w:b/>
        </w:rPr>
      </w:pPr>
      <w:r w:rsidRPr="002F7005">
        <w:rPr>
          <w:rFonts w:cstheme="minorHAnsi"/>
          <w:b/>
        </w:rPr>
        <w:t>Progression rates</w:t>
      </w:r>
      <w:r w:rsidR="00A73904">
        <w:rPr>
          <w:rFonts w:cstheme="minorHAnsi"/>
          <w:b/>
        </w:rPr>
        <w:t xml:space="preserve"> (where applicable)</w:t>
      </w:r>
    </w:p>
    <w:p w14:paraId="15BFB55C" w14:textId="014443A1" w:rsidR="008D635F" w:rsidRDefault="008D635F" w:rsidP="00A67BBA">
      <w:pPr>
        <w:pStyle w:val="ListParagraph"/>
        <w:numPr>
          <w:ilvl w:val="2"/>
          <w:numId w:val="36"/>
        </w:numPr>
        <w:jc w:val="both"/>
        <w:rPr>
          <w:rFonts w:cstheme="minorHAnsi"/>
        </w:rPr>
      </w:pPr>
      <w:r>
        <w:rPr>
          <w:rFonts w:cstheme="minorHAnsi"/>
        </w:rPr>
        <w:t>Progression factors are a</w:t>
      </w:r>
      <w:r w:rsidRPr="000B13C9">
        <w:rPr>
          <w:rFonts w:cstheme="minorHAnsi"/>
        </w:rPr>
        <w:t xml:space="preserve">s per the relevant sectoral wage agreements and </w:t>
      </w:r>
      <w:r>
        <w:rPr>
          <w:rFonts w:cstheme="minorHAnsi"/>
        </w:rPr>
        <w:t>public entity-specific remuneration policies.</w:t>
      </w:r>
    </w:p>
    <w:p w14:paraId="140588E5" w14:textId="77777777" w:rsidR="00A73904" w:rsidRDefault="00A73904" w:rsidP="00A73904">
      <w:pPr>
        <w:pStyle w:val="NoSpacing"/>
        <w:ind w:left="720"/>
      </w:pPr>
    </w:p>
    <w:p w14:paraId="33616C12" w14:textId="77777777" w:rsidR="00A73904" w:rsidRPr="00A67BBA" w:rsidRDefault="00A73904" w:rsidP="00A73904">
      <w:pPr>
        <w:pStyle w:val="NoSpacing"/>
        <w:ind w:left="720"/>
        <w:rPr>
          <w:b/>
        </w:rPr>
      </w:pPr>
      <w:r w:rsidRPr="00A67BBA">
        <w:rPr>
          <w:b/>
        </w:rPr>
        <w:t>TABLE 3: COLA ESCALATION FACTORS - NON-SENIOR MANAGERS NOT ON TCE</w:t>
      </w:r>
    </w:p>
    <w:tbl>
      <w:tblPr>
        <w:tblW w:w="8903" w:type="dxa"/>
        <w:tblInd w:w="828" w:type="dxa"/>
        <w:tblLook w:val="04A0" w:firstRow="1" w:lastRow="0" w:firstColumn="1" w:lastColumn="0" w:noHBand="0" w:noVBand="1"/>
      </w:tblPr>
      <w:tblGrid>
        <w:gridCol w:w="4212"/>
        <w:gridCol w:w="1231"/>
        <w:gridCol w:w="1260"/>
        <w:gridCol w:w="1080"/>
        <w:gridCol w:w="1120"/>
      </w:tblGrid>
      <w:tr w:rsidR="00A73904" w:rsidRPr="00624B19" w14:paraId="38D57395" w14:textId="77777777" w:rsidTr="001C03E0">
        <w:trPr>
          <w:trHeight w:val="291"/>
        </w:trPr>
        <w:tc>
          <w:tcPr>
            <w:tcW w:w="4212" w:type="dxa"/>
            <w:tcBorders>
              <w:top w:val="nil"/>
              <w:left w:val="nil"/>
              <w:bottom w:val="nil"/>
              <w:right w:val="nil"/>
            </w:tcBorders>
            <w:shd w:val="clear" w:color="000000" w:fill="9B3737"/>
            <w:noWrap/>
            <w:vAlign w:val="bottom"/>
            <w:hideMark/>
          </w:tcPr>
          <w:p w14:paraId="3B7BAED4" w14:textId="77777777" w:rsidR="00A73904" w:rsidRPr="00624B19" w:rsidRDefault="00A73904" w:rsidP="001C03E0">
            <w:pPr>
              <w:spacing w:after="0" w:line="240" w:lineRule="auto"/>
              <w:rPr>
                <w:rFonts w:ascii="Calibri" w:eastAsia="Times New Roman" w:hAnsi="Calibri" w:cs="Calibri"/>
                <w:b/>
                <w:bCs/>
                <w:color w:val="FFFFFF"/>
                <w:sz w:val="18"/>
                <w:szCs w:val="18"/>
                <w:lang w:eastAsia="en-ZA"/>
              </w:rPr>
            </w:pPr>
            <w:r w:rsidRPr="00624B19">
              <w:rPr>
                <w:rFonts w:ascii="Calibri" w:eastAsia="Times New Roman" w:hAnsi="Calibri" w:cs="Calibri"/>
                <w:b/>
                <w:bCs/>
                <w:color w:val="FFFFFF"/>
                <w:sz w:val="18"/>
                <w:szCs w:val="18"/>
                <w:lang w:eastAsia="en-ZA"/>
              </w:rPr>
              <w:t>PAYMENT ITEM</w:t>
            </w:r>
          </w:p>
        </w:tc>
        <w:tc>
          <w:tcPr>
            <w:tcW w:w="1231" w:type="dxa"/>
            <w:tcBorders>
              <w:top w:val="nil"/>
              <w:left w:val="nil"/>
              <w:bottom w:val="nil"/>
              <w:right w:val="nil"/>
            </w:tcBorders>
            <w:shd w:val="clear" w:color="000000" w:fill="9B3737"/>
            <w:noWrap/>
            <w:vAlign w:val="bottom"/>
            <w:hideMark/>
          </w:tcPr>
          <w:p w14:paraId="12EECF03" w14:textId="77777777" w:rsidR="00A73904" w:rsidRPr="00624B19" w:rsidRDefault="00A73904" w:rsidP="001C03E0">
            <w:pPr>
              <w:spacing w:after="0" w:line="240" w:lineRule="auto"/>
              <w:jc w:val="right"/>
              <w:rPr>
                <w:rFonts w:ascii="Calibri" w:eastAsia="Times New Roman" w:hAnsi="Calibri" w:cs="Calibri"/>
                <w:b/>
                <w:bCs/>
                <w:color w:val="FFFFFF"/>
                <w:sz w:val="18"/>
                <w:szCs w:val="18"/>
                <w:lang w:eastAsia="en-ZA"/>
              </w:rPr>
            </w:pPr>
            <w:r w:rsidRPr="00624B19">
              <w:rPr>
                <w:rFonts w:ascii="Calibri" w:eastAsia="Times New Roman" w:hAnsi="Calibri" w:cs="Calibri"/>
                <w:b/>
                <w:bCs/>
                <w:color w:val="FFFFFF"/>
                <w:sz w:val="18"/>
                <w:szCs w:val="18"/>
                <w:lang w:eastAsia="en-ZA"/>
              </w:rPr>
              <w:t>2020/21</w:t>
            </w:r>
          </w:p>
        </w:tc>
        <w:tc>
          <w:tcPr>
            <w:tcW w:w="1260" w:type="dxa"/>
            <w:tcBorders>
              <w:top w:val="nil"/>
              <w:left w:val="nil"/>
              <w:bottom w:val="nil"/>
              <w:right w:val="nil"/>
            </w:tcBorders>
            <w:shd w:val="clear" w:color="000000" w:fill="9B3737"/>
            <w:noWrap/>
            <w:vAlign w:val="bottom"/>
            <w:hideMark/>
          </w:tcPr>
          <w:p w14:paraId="6E887151" w14:textId="77777777" w:rsidR="00A73904" w:rsidRPr="00624B19" w:rsidRDefault="00A73904" w:rsidP="001C03E0">
            <w:pPr>
              <w:spacing w:after="0" w:line="240" w:lineRule="auto"/>
              <w:jc w:val="right"/>
              <w:rPr>
                <w:rFonts w:ascii="Calibri" w:eastAsia="Times New Roman" w:hAnsi="Calibri" w:cs="Calibri"/>
                <w:b/>
                <w:bCs/>
                <w:color w:val="FFFFFF"/>
                <w:sz w:val="18"/>
                <w:szCs w:val="18"/>
                <w:lang w:eastAsia="en-ZA"/>
              </w:rPr>
            </w:pPr>
            <w:r w:rsidRPr="00624B19">
              <w:rPr>
                <w:rFonts w:ascii="Calibri" w:eastAsia="Times New Roman" w:hAnsi="Calibri" w:cs="Calibri"/>
                <w:b/>
                <w:bCs/>
                <w:color w:val="FFFFFF"/>
                <w:sz w:val="18"/>
                <w:szCs w:val="18"/>
                <w:lang w:eastAsia="en-ZA"/>
              </w:rPr>
              <w:t>2021/22</w:t>
            </w:r>
          </w:p>
        </w:tc>
        <w:tc>
          <w:tcPr>
            <w:tcW w:w="1080" w:type="dxa"/>
            <w:tcBorders>
              <w:top w:val="nil"/>
              <w:left w:val="nil"/>
              <w:bottom w:val="nil"/>
              <w:right w:val="nil"/>
            </w:tcBorders>
            <w:shd w:val="clear" w:color="000000" w:fill="9B3737"/>
            <w:noWrap/>
            <w:vAlign w:val="bottom"/>
          </w:tcPr>
          <w:p w14:paraId="0370185B" w14:textId="77777777" w:rsidR="00A73904" w:rsidRPr="00624B19" w:rsidRDefault="00A73904" w:rsidP="001C03E0">
            <w:pPr>
              <w:spacing w:after="0" w:line="240" w:lineRule="auto"/>
              <w:jc w:val="right"/>
              <w:rPr>
                <w:rFonts w:ascii="Calibri" w:eastAsia="Times New Roman" w:hAnsi="Calibri" w:cs="Calibri"/>
                <w:b/>
                <w:bCs/>
                <w:color w:val="FFFFFF"/>
                <w:sz w:val="18"/>
                <w:szCs w:val="18"/>
                <w:lang w:eastAsia="en-ZA"/>
              </w:rPr>
            </w:pPr>
            <w:r w:rsidRPr="00624B19">
              <w:rPr>
                <w:rFonts w:ascii="Calibri" w:eastAsia="Times New Roman" w:hAnsi="Calibri" w:cs="Calibri"/>
                <w:b/>
                <w:bCs/>
                <w:color w:val="FFFFFF" w:themeColor="background1"/>
                <w:sz w:val="18"/>
                <w:szCs w:val="18"/>
                <w:lang w:eastAsia="en-ZA"/>
              </w:rPr>
              <w:t>2022/23</w:t>
            </w:r>
          </w:p>
        </w:tc>
        <w:tc>
          <w:tcPr>
            <w:tcW w:w="1120" w:type="dxa"/>
            <w:tcBorders>
              <w:top w:val="nil"/>
              <w:left w:val="nil"/>
              <w:bottom w:val="nil"/>
              <w:right w:val="nil"/>
            </w:tcBorders>
            <w:shd w:val="clear" w:color="000000" w:fill="9B3737"/>
            <w:noWrap/>
            <w:vAlign w:val="bottom"/>
          </w:tcPr>
          <w:p w14:paraId="7E630C22" w14:textId="77777777" w:rsidR="00A73904" w:rsidRPr="00624B19" w:rsidRDefault="00A73904" w:rsidP="001C03E0">
            <w:pPr>
              <w:spacing w:after="0" w:line="240" w:lineRule="auto"/>
              <w:jc w:val="right"/>
              <w:rPr>
                <w:rFonts w:ascii="Calibri" w:eastAsia="Times New Roman" w:hAnsi="Calibri" w:cs="Calibri"/>
                <w:b/>
                <w:bCs/>
                <w:color w:val="FFFFFF" w:themeColor="background1"/>
                <w:sz w:val="18"/>
                <w:szCs w:val="18"/>
                <w:lang w:eastAsia="en-ZA"/>
              </w:rPr>
            </w:pPr>
            <w:r w:rsidRPr="00624B19">
              <w:rPr>
                <w:rFonts w:ascii="Calibri" w:eastAsia="Times New Roman" w:hAnsi="Calibri" w:cs="Calibri"/>
                <w:b/>
                <w:bCs/>
                <w:color w:val="FFFFFF" w:themeColor="background1"/>
                <w:sz w:val="18"/>
                <w:szCs w:val="18"/>
                <w:lang w:eastAsia="en-ZA"/>
              </w:rPr>
              <w:t>2023/24</w:t>
            </w:r>
          </w:p>
        </w:tc>
      </w:tr>
      <w:tr w:rsidR="00A73904" w:rsidRPr="00624B19" w14:paraId="347C2E53" w14:textId="77777777" w:rsidTr="001C03E0">
        <w:trPr>
          <w:trHeight w:val="291"/>
        </w:trPr>
        <w:tc>
          <w:tcPr>
            <w:tcW w:w="4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FDF16" w14:textId="77777777" w:rsidR="00A73904" w:rsidRPr="00624B19" w:rsidRDefault="00A73904" w:rsidP="001C03E0">
            <w:pPr>
              <w:spacing w:after="0" w:line="240" w:lineRule="auto"/>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S&amp;W: BASIC SALARY</w:t>
            </w:r>
          </w:p>
        </w:tc>
        <w:tc>
          <w:tcPr>
            <w:tcW w:w="1231" w:type="dxa"/>
            <w:tcBorders>
              <w:top w:val="single" w:sz="4" w:space="0" w:color="auto"/>
              <w:left w:val="nil"/>
              <w:bottom w:val="single" w:sz="4" w:space="0" w:color="auto"/>
              <w:right w:val="single" w:sz="4" w:space="0" w:color="auto"/>
            </w:tcBorders>
            <w:shd w:val="clear" w:color="auto" w:fill="auto"/>
            <w:noWrap/>
            <w:vAlign w:val="bottom"/>
          </w:tcPr>
          <w:p w14:paraId="2EDE4588"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0%</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01E33AC"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1B108FA"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3FB24134" w14:textId="77777777" w:rsidR="00A73904" w:rsidRPr="00624B19" w:rsidRDefault="00A73904" w:rsidP="001C03E0">
            <w:pPr>
              <w:spacing w:after="0" w:line="240" w:lineRule="auto"/>
              <w:jc w:val="right"/>
              <w:rPr>
                <w:rFonts w:ascii="Calibri" w:eastAsia="Times New Roman" w:hAnsi="Calibri" w:cs="Calibri"/>
                <w:color w:val="FFFFFF" w:themeColor="background1"/>
                <w:sz w:val="18"/>
                <w:szCs w:val="18"/>
                <w:lang w:eastAsia="en-ZA"/>
              </w:rPr>
            </w:pPr>
            <w:r w:rsidRPr="00624B19">
              <w:rPr>
                <w:rFonts w:ascii="Calibri" w:eastAsia="Times New Roman" w:hAnsi="Calibri" w:cs="Calibri"/>
                <w:color w:val="000000"/>
                <w:sz w:val="18"/>
                <w:szCs w:val="18"/>
                <w:lang w:eastAsia="en-ZA"/>
              </w:rPr>
              <w:t>0%</w:t>
            </w:r>
          </w:p>
        </w:tc>
      </w:tr>
      <w:tr w:rsidR="00A73904" w:rsidRPr="00624B19" w14:paraId="0AE077BD" w14:textId="77777777" w:rsidTr="001C03E0">
        <w:trPr>
          <w:trHeight w:val="291"/>
        </w:trPr>
        <w:tc>
          <w:tcPr>
            <w:tcW w:w="4212" w:type="dxa"/>
            <w:tcBorders>
              <w:top w:val="nil"/>
              <w:left w:val="single" w:sz="4" w:space="0" w:color="auto"/>
              <w:bottom w:val="single" w:sz="4" w:space="0" w:color="auto"/>
              <w:right w:val="single" w:sz="4" w:space="0" w:color="auto"/>
            </w:tcBorders>
            <w:shd w:val="clear" w:color="auto" w:fill="auto"/>
            <w:noWrap/>
            <w:vAlign w:val="bottom"/>
            <w:hideMark/>
          </w:tcPr>
          <w:p w14:paraId="1B09F61A" w14:textId="77777777" w:rsidR="00A73904" w:rsidRPr="00624B19" w:rsidRDefault="00A73904" w:rsidP="001C03E0">
            <w:pPr>
              <w:spacing w:after="0" w:line="240" w:lineRule="auto"/>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S&amp;W:HOUSING ALLOWANCE</w:t>
            </w:r>
          </w:p>
        </w:tc>
        <w:tc>
          <w:tcPr>
            <w:tcW w:w="4691" w:type="dxa"/>
            <w:gridSpan w:val="4"/>
            <w:tcBorders>
              <w:top w:val="nil"/>
              <w:left w:val="nil"/>
              <w:bottom w:val="single" w:sz="4" w:space="0" w:color="auto"/>
              <w:right w:val="single" w:sz="4" w:space="0" w:color="auto"/>
            </w:tcBorders>
            <w:shd w:val="clear" w:color="auto" w:fill="auto"/>
            <w:noWrap/>
            <w:vAlign w:val="bottom"/>
          </w:tcPr>
          <w:p w14:paraId="68331604" w14:textId="77777777" w:rsidR="00A73904" w:rsidRPr="00624B19" w:rsidRDefault="00A73904" w:rsidP="001C03E0">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As per the remuneration policy</w:t>
            </w:r>
          </w:p>
        </w:tc>
      </w:tr>
      <w:tr w:rsidR="00A73904" w:rsidRPr="00624B19" w14:paraId="10BA95DB" w14:textId="77777777" w:rsidTr="001C03E0">
        <w:trPr>
          <w:trHeight w:val="291"/>
        </w:trPr>
        <w:tc>
          <w:tcPr>
            <w:tcW w:w="4212" w:type="dxa"/>
            <w:tcBorders>
              <w:top w:val="nil"/>
              <w:left w:val="single" w:sz="4" w:space="0" w:color="auto"/>
              <w:bottom w:val="single" w:sz="4" w:space="0" w:color="auto"/>
              <w:right w:val="single" w:sz="4" w:space="0" w:color="auto"/>
            </w:tcBorders>
            <w:shd w:val="clear" w:color="auto" w:fill="auto"/>
            <w:noWrap/>
            <w:vAlign w:val="bottom"/>
            <w:hideMark/>
          </w:tcPr>
          <w:p w14:paraId="605E50CB" w14:textId="77777777" w:rsidR="00A73904" w:rsidRPr="00624B19" w:rsidRDefault="00A73904" w:rsidP="001C03E0">
            <w:pPr>
              <w:spacing w:after="0" w:line="240" w:lineRule="auto"/>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S&amp;W:OVERTIME</w:t>
            </w:r>
          </w:p>
        </w:tc>
        <w:tc>
          <w:tcPr>
            <w:tcW w:w="1231" w:type="dxa"/>
            <w:tcBorders>
              <w:top w:val="nil"/>
              <w:left w:val="nil"/>
              <w:bottom w:val="single" w:sz="4" w:space="0" w:color="auto"/>
              <w:right w:val="single" w:sz="4" w:space="0" w:color="auto"/>
            </w:tcBorders>
            <w:shd w:val="clear" w:color="auto" w:fill="auto"/>
            <w:noWrap/>
            <w:vAlign w:val="bottom"/>
          </w:tcPr>
          <w:p w14:paraId="1D4E725C"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0%</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585FB80"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00E53A9"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20AC6565" w14:textId="77777777" w:rsidR="00A73904" w:rsidRPr="00624B19" w:rsidRDefault="00A73904" w:rsidP="001C03E0">
            <w:pPr>
              <w:spacing w:after="0" w:line="240" w:lineRule="auto"/>
              <w:jc w:val="right"/>
              <w:rPr>
                <w:rFonts w:ascii="Calibri" w:eastAsia="Times New Roman" w:hAnsi="Calibri" w:cs="Calibri"/>
                <w:color w:val="FFFFFF" w:themeColor="background1"/>
                <w:sz w:val="18"/>
                <w:szCs w:val="18"/>
                <w:lang w:eastAsia="en-ZA"/>
              </w:rPr>
            </w:pPr>
            <w:r w:rsidRPr="00624B19">
              <w:rPr>
                <w:rFonts w:ascii="Calibri" w:eastAsia="Times New Roman" w:hAnsi="Calibri" w:cs="Calibri"/>
                <w:color w:val="000000"/>
                <w:sz w:val="18"/>
                <w:szCs w:val="18"/>
                <w:lang w:eastAsia="en-ZA"/>
              </w:rPr>
              <w:t>0%</w:t>
            </w:r>
          </w:p>
        </w:tc>
      </w:tr>
      <w:tr w:rsidR="00A73904" w:rsidRPr="00624B19" w14:paraId="5649DF2E" w14:textId="77777777" w:rsidTr="001C03E0">
        <w:trPr>
          <w:trHeight w:val="291"/>
        </w:trPr>
        <w:tc>
          <w:tcPr>
            <w:tcW w:w="4212" w:type="dxa"/>
            <w:tcBorders>
              <w:top w:val="nil"/>
              <w:left w:val="single" w:sz="4" w:space="0" w:color="auto"/>
              <w:bottom w:val="single" w:sz="4" w:space="0" w:color="auto"/>
              <w:right w:val="single" w:sz="4" w:space="0" w:color="auto"/>
            </w:tcBorders>
            <w:shd w:val="clear" w:color="auto" w:fill="auto"/>
            <w:noWrap/>
            <w:vAlign w:val="bottom"/>
            <w:hideMark/>
          </w:tcPr>
          <w:p w14:paraId="6113B4F2" w14:textId="77777777" w:rsidR="00A73904" w:rsidRPr="00624B19" w:rsidRDefault="00A73904" w:rsidP="001C03E0">
            <w:pPr>
              <w:spacing w:after="0" w:line="240" w:lineRule="auto"/>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EMPL CONTR:MEDICAL</w:t>
            </w:r>
          </w:p>
        </w:tc>
        <w:tc>
          <w:tcPr>
            <w:tcW w:w="4691" w:type="dxa"/>
            <w:gridSpan w:val="4"/>
            <w:tcBorders>
              <w:top w:val="nil"/>
              <w:left w:val="nil"/>
              <w:bottom w:val="single" w:sz="4" w:space="0" w:color="auto"/>
              <w:right w:val="single" w:sz="4" w:space="0" w:color="auto"/>
            </w:tcBorders>
            <w:shd w:val="clear" w:color="auto" w:fill="auto"/>
            <w:noWrap/>
            <w:vAlign w:val="bottom"/>
          </w:tcPr>
          <w:p w14:paraId="4C117F35" w14:textId="77777777" w:rsidR="00A73904" w:rsidRPr="00624B19" w:rsidRDefault="00A73904" w:rsidP="001C03E0">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As per the remuneration policy</w:t>
            </w:r>
          </w:p>
        </w:tc>
      </w:tr>
      <w:tr w:rsidR="00A73904" w:rsidRPr="00624B19" w14:paraId="566E0A42" w14:textId="77777777" w:rsidTr="001C03E0">
        <w:trPr>
          <w:trHeight w:val="291"/>
        </w:trPr>
        <w:tc>
          <w:tcPr>
            <w:tcW w:w="4212" w:type="dxa"/>
            <w:tcBorders>
              <w:top w:val="nil"/>
              <w:left w:val="single" w:sz="4" w:space="0" w:color="auto"/>
              <w:bottom w:val="single" w:sz="4" w:space="0" w:color="auto"/>
              <w:right w:val="single" w:sz="4" w:space="0" w:color="auto"/>
            </w:tcBorders>
            <w:shd w:val="clear" w:color="auto" w:fill="auto"/>
            <w:noWrap/>
            <w:vAlign w:val="bottom"/>
            <w:hideMark/>
          </w:tcPr>
          <w:p w14:paraId="6B03DA20" w14:textId="77777777" w:rsidR="00A73904" w:rsidRPr="00624B19" w:rsidRDefault="00A73904" w:rsidP="001C03E0">
            <w:pPr>
              <w:spacing w:after="0" w:line="240" w:lineRule="auto"/>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EMPL CONTR:PENSION</w:t>
            </w:r>
          </w:p>
        </w:tc>
        <w:tc>
          <w:tcPr>
            <w:tcW w:w="1231" w:type="dxa"/>
            <w:tcBorders>
              <w:top w:val="nil"/>
              <w:left w:val="nil"/>
              <w:bottom w:val="single" w:sz="4" w:space="0" w:color="auto"/>
              <w:right w:val="single" w:sz="4" w:space="0" w:color="auto"/>
            </w:tcBorders>
            <w:shd w:val="clear" w:color="auto" w:fill="auto"/>
            <w:noWrap/>
            <w:vAlign w:val="bottom"/>
          </w:tcPr>
          <w:p w14:paraId="0DD3E57B"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0%</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51749DF"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979AD9A"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0C05D2A0" w14:textId="77777777" w:rsidR="00A73904" w:rsidRPr="00624B19" w:rsidRDefault="00A73904" w:rsidP="001C03E0">
            <w:pPr>
              <w:spacing w:after="0" w:line="240" w:lineRule="auto"/>
              <w:jc w:val="right"/>
              <w:rPr>
                <w:rFonts w:ascii="Calibri" w:eastAsia="Times New Roman" w:hAnsi="Calibri" w:cs="Calibri"/>
                <w:color w:val="FFFFFF" w:themeColor="background1"/>
                <w:sz w:val="18"/>
                <w:szCs w:val="18"/>
                <w:lang w:eastAsia="en-ZA"/>
              </w:rPr>
            </w:pPr>
            <w:r w:rsidRPr="00624B19">
              <w:rPr>
                <w:rFonts w:ascii="Calibri" w:eastAsia="Times New Roman" w:hAnsi="Calibri" w:cs="Calibri"/>
                <w:color w:val="000000"/>
                <w:sz w:val="18"/>
                <w:szCs w:val="18"/>
                <w:lang w:eastAsia="en-ZA"/>
              </w:rPr>
              <w:t>0%</w:t>
            </w:r>
          </w:p>
        </w:tc>
      </w:tr>
      <w:tr w:rsidR="00A73904" w:rsidRPr="00624B19" w14:paraId="07EE3CC0" w14:textId="77777777" w:rsidTr="001C03E0">
        <w:trPr>
          <w:trHeight w:val="291"/>
        </w:trPr>
        <w:tc>
          <w:tcPr>
            <w:tcW w:w="4212" w:type="dxa"/>
            <w:tcBorders>
              <w:top w:val="nil"/>
              <w:left w:val="single" w:sz="4" w:space="0" w:color="auto"/>
              <w:bottom w:val="single" w:sz="4" w:space="0" w:color="auto"/>
              <w:right w:val="single" w:sz="4" w:space="0" w:color="auto"/>
            </w:tcBorders>
            <w:shd w:val="clear" w:color="auto" w:fill="auto"/>
            <w:noWrap/>
            <w:vAlign w:val="bottom"/>
            <w:hideMark/>
          </w:tcPr>
          <w:p w14:paraId="568C606A" w14:textId="77777777" w:rsidR="00A73904" w:rsidRPr="00624B19" w:rsidRDefault="00A73904" w:rsidP="001C03E0">
            <w:pPr>
              <w:spacing w:after="0" w:line="240" w:lineRule="auto"/>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S&amp;W:PERFORMANCE BONUS</w:t>
            </w:r>
          </w:p>
        </w:tc>
        <w:tc>
          <w:tcPr>
            <w:tcW w:w="1231" w:type="dxa"/>
            <w:tcBorders>
              <w:top w:val="nil"/>
              <w:left w:val="nil"/>
              <w:bottom w:val="single" w:sz="4" w:space="0" w:color="auto"/>
              <w:right w:val="single" w:sz="4" w:space="0" w:color="auto"/>
            </w:tcBorders>
            <w:shd w:val="clear" w:color="auto" w:fill="auto"/>
            <w:noWrap/>
            <w:vAlign w:val="bottom"/>
          </w:tcPr>
          <w:p w14:paraId="625BA590"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0%</w:t>
            </w:r>
          </w:p>
        </w:tc>
        <w:tc>
          <w:tcPr>
            <w:tcW w:w="1260" w:type="dxa"/>
            <w:tcBorders>
              <w:top w:val="nil"/>
              <w:left w:val="nil"/>
              <w:bottom w:val="single" w:sz="4" w:space="0" w:color="auto"/>
              <w:right w:val="single" w:sz="4" w:space="0" w:color="auto"/>
            </w:tcBorders>
            <w:shd w:val="clear" w:color="auto" w:fill="auto"/>
            <w:noWrap/>
            <w:vAlign w:val="bottom"/>
          </w:tcPr>
          <w:p w14:paraId="70EB6418"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0%</w:t>
            </w:r>
          </w:p>
        </w:tc>
        <w:tc>
          <w:tcPr>
            <w:tcW w:w="1080" w:type="dxa"/>
            <w:tcBorders>
              <w:top w:val="nil"/>
              <w:left w:val="nil"/>
              <w:bottom w:val="single" w:sz="4" w:space="0" w:color="auto"/>
              <w:right w:val="single" w:sz="4" w:space="0" w:color="auto"/>
            </w:tcBorders>
            <w:shd w:val="clear" w:color="auto" w:fill="auto"/>
            <w:noWrap/>
            <w:vAlign w:val="bottom"/>
          </w:tcPr>
          <w:p w14:paraId="116BE44F"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0%</w:t>
            </w:r>
          </w:p>
        </w:tc>
        <w:tc>
          <w:tcPr>
            <w:tcW w:w="1120" w:type="dxa"/>
            <w:tcBorders>
              <w:top w:val="nil"/>
              <w:left w:val="nil"/>
              <w:bottom w:val="single" w:sz="4" w:space="0" w:color="auto"/>
              <w:right w:val="single" w:sz="4" w:space="0" w:color="auto"/>
            </w:tcBorders>
            <w:shd w:val="clear" w:color="auto" w:fill="auto"/>
            <w:noWrap/>
            <w:vAlign w:val="bottom"/>
          </w:tcPr>
          <w:p w14:paraId="73225A47"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0%</w:t>
            </w:r>
          </w:p>
        </w:tc>
      </w:tr>
      <w:tr w:rsidR="00A73904" w:rsidRPr="00135AF2" w14:paraId="723599CC" w14:textId="77777777" w:rsidTr="001C03E0">
        <w:trPr>
          <w:trHeight w:val="291"/>
        </w:trPr>
        <w:tc>
          <w:tcPr>
            <w:tcW w:w="4212" w:type="dxa"/>
            <w:tcBorders>
              <w:top w:val="nil"/>
              <w:left w:val="single" w:sz="4" w:space="0" w:color="auto"/>
              <w:bottom w:val="single" w:sz="4" w:space="0" w:color="auto"/>
              <w:right w:val="single" w:sz="4" w:space="0" w:color="auto"/>
            </w:tcBorders>
            <w:shd w:val="clear" w:color="auto" w:fill="auto"/>
            <w:noWrap/>
            <w:vAlign w:val="bottom"/>
            <w:hideMark/>
          </w:tcPr>
          <w:p w14:paraId="599D350A" w14:textId="77777777" w:rsidR="00A73904" w:rsidRPr="00624B19" w:rsidRDefault="00A73904" w:rsidP="001C03E0">
            <w:pPr>
              <w:spacing w:after="0" w:line="240" w:lineRule="auto"/>
              <w:rPr>
                <w:rFonts w:ascii="Calibri" w:eastAsia="Times New Roman" w:hAnsi="Calibri" w:cs="Calibri"/>
                <w:color w:val="000000"/>
                <w:sz w:val="18"/>
                <w:szCs w:val="18"/>
                <w:lang w:eastAsia="en-ZA"/>
              </w:rPr>
            </w:pPr>
            <w:r w:rsidRPr="00624B19">
              <w:rPr>
                <w:rFonts w:ascii="Calibri" w:eastAsia="Times New Roman" w:hAnsi="Calibri" w:cs="Calibri"/>
                <w:color w:val="000000"/>
                <w:sz w:val="18"/>
                <w:szCs w:val="18"/>
                <w:lang w:eastAsia="en-ZA"/>
              </w:rPr>
              <w:t>ALL OTHER</w:t>
            </w:r>
          </w:p>
        </w:tc>
        <w:tc>
          <w:tcPr>
            <w:tcW w:w="1231" w:type="dxa"/>
            <w:tcBorders>
              <w:top w:val="nil"/>
              <w:left w:val="nil"/>
              <w:bottom w:val="single" w:sz="4" w:space="0" w:color="auto"/>
              <w:right w:val="single" w:sz="4" w:space="0" w:color="auto"/>
            </w:tcBorders>
            <w:shd w:val="clear" w:color="auto" w:fill="auto"/>
            <w:noWrap/>
          </w:tcPr>
          <w:p w14:paraId="7F08AFAC"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CPI</w:t>
            </w:r>
          </w:p>
        </w:tc>
        <w:tc>
          <w:tcPr>
            <w:tcW w:w="1260" w:type="dxa"/>
            <w:tcBorders>
              <w:top w:val="single" w:sz="4" w:space="0" w:color="auto"/>
              <w:left w:val="nil"/>
              <w:bottom w:val="single" w:sz="4" w:space="0" w:color="auto"/>
              <w:right w:val="single" w:sz="4" w:space="0" w:color="auto"/>
            </w:tcBorders>
            <w:shd w:val="clear" w:color="auto" w:fill="auto"/>
            <w:noWrap/>
          </w:tcPr>
          <w:p w14:paraId="0B486108"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FE6A7C">
              <w:rPr>
                <w:rFonts w:ascii="Calibri" w:eastAsia="Times New Roman" w:hAnsi="Calibri" w:cs="Calibri"/>
                <w:color w:val="000000"/>
                <w:sz w:val="18"/>
                <w:szCs w:val="18"/>
                <w:lang w:eastAsia="en-ZA"/>
              </w:rPr>
              <w:t>CPI</w:t>
            </w:r>
          </w:p>
        </w:tc>
        <w:tc>
          <w:tcPr>
            <w:tcW w:w="1080" w:type="dxa"/>
            <w:tcBorders>
              <w:top w:val="single" w:sz="4" w:space="0" w:color="auto"/>
              <w:left w:val="nil"/>
              <w:bottom w:val="single" w:sz="4" w:space="0" w:color="auto"/>
              <w:right w:val="single" w:sz="4" w:space="0" w:color="auto"/>
            </w:tcBorders>
            <w:shd w:val="clear" w:color="auto" w:fill="auto"/>
            <w:noWrap/>
          </w:tcPr>
          <w:p w14:paraId="72BF3A02"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FE6A7C">
              <w:rPr>
                <w:rFonts w:ascii="Calibri" w:eastAsia="Times New Roman" w:hAnsi="Calibri" w:cs="Calibri"/>
                <w:color w:val="000000"/>
                <w:sz w:val="18"/>
                <w:szCs w:val="18"/>
                <w:lang w:eastAsia="en-ZA"/>
              </w:rPr>
              <w:t>CPI</w:t>
            </w:r>
          </w:p>
        </w:tc>
        <w:tc>
          <w:tcPr>
            <w:tcW w:w="1120" w:type="dxa"/>
            <w:tcBorders>
              <w:top w:val="single" w:sz="4" w:space="0" w:color="auto"/>
              <w:left w:val="nil"/>
              <w:bottom w:val="single" w:sz="4" w:space="0" w:color="auto"/>
              <w:right w:val="single" w:sz="4" w:space="0" w:color="auto"/>
            </w:tcBorders>
            <w:shd w:val="clear" w:color="auto" w:fill="auto"/>
            <w:noWrap/>
          </w:tcPr>
          <w:p w14:paraId="2D215138" w14:textId="77777777" w:rsidR="00A73904" w:rsidRPr="00266581" w:rsidRDefault="00A73904" w:rsidP="001C03E0">
            <w:pPr>
              <w:spacing w:after="0" w:line="240" w:lineRule="auto"/>
              <w:jc w:val="right"/>
              <w:rPr>
                <w:rFonts w:ascii="Calibri" w:eastAsia="Times New Roman" w:hAnsi="Calibri" w:cs="Calibri"/>
                <w:color w:val="FFFFFF" w:themeColor="background1"/>
                <w:sz w:val="18"/>
                <w:szCs w:val="18"/>
                <w:lang w:eastAsia="en-ZA"/>
              </w:rPr>
            </w:pPr>
            <w:r>
              <w:rPr>
                <w:rFonts w:ascii="Calibri" w:eastAsia="Times New Roman" w:hAnsi="Calibri" w:cs="Calibri"/>
                <w:color w:val="000000"/>
                <w:sz w:val="18"/>
                <w:szCs w:val="18"/>
                <w:lang w:eastAsia="en-ZA"/>
              </w:rPr>
              <w:t>CPI</w:t>
            </w:r>
          </w:p>
        </w:tc>
      </w:tr>
    </w:tbl>
    <w:p w14:paraId="238D12C2" w14:textId="77777777" w:rsidR="00A73904" w:rsidRDefault="00A73904" w:rsidP="002F7005">
      <w:pPr>
        <w:ind w:left="1170" w:hanging="630"/>
        <w:jc w:val="both"/>
        <w:rPr>
          <w:rFonts w:cstheme="minorHAnsi"/>
          <w:b/>
        </w:rPr>
      </w:pPr>
    </w:p>
    <w:p w14:paraId="304426A0" w14:textId="0FD2C2EF" w:rsidR="00176F5D" w:rsidRPr="002F7005" w:rsidRDefault="00176F5D" w:rsidP="002F7005">
      <w:pPr>
        <w:ind w:left="1170" w:hanging="630"/>
        <w:jc w:val="both"/>
        <w:rPr>
          <w:rFonts w:cstheme="minorHAnsi"/>
          <w:b/>
        </w:rPr>
      </w:pPr>
      <w:r w:rsidRPr="002F7005">
        <w:rPr>
          <w:rFonts w:cstheme="minorHAnsi"/>
          <w:b/>
        </w:rPr>
        <w:t xml:space="preserve">Escalation factors for </w:t>
      </w:r>
      <w:r w:rsidR="000B13C9">
        <w:rPr>
          <w:rFonts w:cstheme="minorHAnsi"/>
          <w:b/>
        </w:rPr>
        <w:t>senior managers</w:t>
      </w:r>
    </w:p>
    <w:p w14:paraId="418AA590" w14:textId="58EE2C08" w:rsidR="00176F5D" w:rsidRPr="00F229C0" w:rsidRDefault="002776D3" w:rsidP="00A67BBA">
      <w:pPr>
        <w:pStyle w:val="ListParagraph"/>
        <w:numPr>
          <w:ilvl w:val="2"/>
          <w:numId w:val="36"/>
        </w:numPr>
        <w:jc w:val="both"/>
        <w:rPr>
          <w:rFonts w:cstheme="minorHAnsi"/>
        </w:rPr>
      </w:pPr>
      <w:r>
        <w:rPr>
          <w:rFonts w:cstheme="minorHAnsi"/>
        </w:rPr>
        <w:t>E</w:t>
      </w:r>
      <w:r w:rsidR="00F229C0">
        <w:rPr>
          <w:rFonts w:cstheme="minorHAnsi"/>
        </w:rPr>
        <w:t xml:space="preserve">scalation factors </w:t>
      </w:r>
      <w:r w:rsidR="00F4053F">
        <w:rPr>
          <w:rFonts w:cstheme="minorHAnsi"/>
        </w:rPr>
        <w:t xml:space="preserve">applicable to </w:t>
      </w:r>
      <w:r w:rsidR="000B13C9">
        <w:rPr>
          <w:rFonts w:cstheme="minorHAnsi"/>
        </w:rPr>
        <w:t>senior managers</w:t>
      </w:r>
      <w:r w:rsidR="00F229C0">
        <w:rPr>
          <w:rFonts w:cstheme="minorHAnsi"/>
        </w:rPr>
        <w:t xml:space="preserve"> </w:t>
      </w:r>
      <w:r>
        <w:rPr>
          <w:rFonts w:cstheme="minorHAnsi"/>
        </w:rPr>
        <w:t xml:space="preserve">are detailed in </w:t>
      </w:r>
      <w:r w:rsidR="00F229C0">
        <w:rPr>
          <w:rFonts w:cstheme="minorHAnsi"/>
        </w:rPr>
        <w:t xml:space="preserve">Table </w:t>
      </w:r>
      <w:r w:rsidR="0087203D">
        <w:rPr>
          <w:rFonts w:cstheme="minorHAnsi"/>
        </w:rPr>
        <w:t>4</w:t>
      </w:r>
      <w:r w:rsidR="00F229C0" w:rsidRPr="00F229C0">
        <w:rPr>
          <w:rFonts w:cstheme="minorHAnsi"/>
        </w:rPr>
        <w:t xml:space="preserve"> </w:t>
      </w:r>
    </w:p>
    <w:p w14:paraId="6AC9C0C1" w14:textId="77777777" w:rsidR="00A73904" w:rsidRPr="00A67BBA" w:rsidRDefault="00A73904" w:rsidP="00A73904">
      <w:pPr>
        <w:pStyle w:val="ListParagraph"/>
        <w:spacing w:after="120" w:line="240" w:lineRule="auto"/>
        <w:ind w:left="634" w:firstLine="86"/>
        <w:jc w:val="both"/>
        <w:rPr>
          <w:rFonts w:cstheme="minorHAnsi"/>
          <w:b/>
        </w:rPr>
      </w:pPr>
      <w:r w:rsidRPr="00A67BBA">
        <w:rPr>
          <w:rFonts w:cstheme="minorHAnsi"/>
          <w:b/>
        </w:rPr>
        <w:t>TABLE 4: COLA ESCALATION FACTORS FOR SENIOR MANAGEMENT</w:t>
      </w:r>
    </w:p>
    <w:tbl>
      <w:tblPr>
        <w:tblW w:w="879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1350"/>
        <w:gridCol w:w="1080"/>
        <w:gridCol w:w="1080"/>
        <w:gridCol w:w="1080"/>
      </w:tblGrid>
      <w:tr w:rsidR="00A73904" w:rsidRPr="001B4988" w14:paraId="188901C8" w14:textId="77777777" w:rsidTr="001C03E0">
        <w:trPr>
          <w:trHeight w:val="288"/>
        </w:trPr>
        <w:tc>
          <w:tcPr>
            <w:tcW w:w="4207" w:type="dxa"/>
            <w:shd w:val="clear" w:color="000000" w:fill="9B3737"/>
            <w:noWrap/>
            <w:vAlign w:val="bottom"/>
            <w:hideMark/>
          </w:tcPr>
          <w:p w14:paraId="58F48D72" w14:textId="77777777" w:rsidR="00A73904" w:rsidRPr="00080EF1" w:rsidRDefault="00A73904" w:rsidP="001C03E0">
            <w:pPr>
              <w:spacing w:after="0" w:line="240" w:lineRule="auto"/>
              <w:rPr>
                <w:rFonts w:ascii="Calibri" w:eastAsia="Times New Roman" w:hAnsi="Calibri" w:cs="Calibri"/>
                <w:b/>
                <w:bCs/>
                <w:color w:val="FFFFFF"/>
                <w:sz w:val="18"/>
                <w:szCs w:val="18"/>
                <w:lang w:eastAsia="en-ZA"/>
              </w:rPr>
            </w:pPr>
            <w:r w:rsidRPr="00080EF1">
              <w:rPr>
                <w:rFonts w:ascii="Calibri" w:eastAsia="Times New Roman" w:hAnsi="Calibri" w:cs="Calibri"/>
                <w:b/>
                <w:bCs/>
                <w:color w:val="FFFFFF"/>
                <w:sz w:val="18"/>
                <w:szCs w:val="18"/>
                <w:lang w:eastAsia="en-ZA"/>
              </w:rPr>
              <w:t>PAYMENT ITEM</w:t>
            </w:r>
          </w:p>
        </w:tc>
        <w:tc>
          <w:tcPr>
            <w:tcW w:w="1350" w:type="dxa"/>
            <w:shd w:val="clear" w:color="000000" w:fill="9B3737"/>
            <w:noWrap/>
            <w:vAlign w:val="bottom"/>
          </w:tcPr>
          <w:p w14:paraId="38E32675" w14:textId="77777777" w:rsidR="00A73904" w:rsidRPr="00363F4F" w:rsidRDefault="00A73904" w:rsidP="001C03E0">
            <w:pPr>
              <w:spacing w:after="0" w:line="240" w:lineRule="auto"/>
              <w:jc w:val="right"/>
              <w:rPr>
                <w:rFonts w:ascii="Calibri" w:eastAsia="Times New Roman" w:hAnsi="Calibri" w:cs="Calibri"/>
                <w:b/>
                <w:bCs/>
                <w:color w:val="FFFFFF"/>
                <w:sz w:val="18"/>
                <w:szCs w:val="18"/>
                <w:lang w:eastAsia="en-ZA"/>
              </w:rPr>
            </w:pPr>
            <w:r w:rsidRPr="00363F4F">
              <w:rPr>
                <w:rFonts w:ascii="Calibri" w:eastAsia="Times New Roman" w:hAnsi="Calibri" w:cs="Calibri"/>
                <w:b/>
                <w:bCs/>
                <w:color w:val="FFFFFF"/>
                <w:sz w:val="18"/>
                <w:szCs w:val="18"/>
                <w:lang w:eastAsia="en-ZA"/>
              </w:rPr>
              <w:t>20</w:t>
            </w:r>
            <w:r>
              <w:rPr>
                <w:rFonts w:ascii="Calibri" w:eastAsia="Times New Roman" w:hAnsi="Calibri" w:cs="Calibri"/>
                <w:b/>
                <w:bCs/>
                <w:color w:val="FFFFFF"/>
                <w:sz w:val="18"/>
                <w:szCs w:val="18"/>
                <w:lang w:eastAsia="en-ZA"/>
              </w:rPr>
              <w:t>20</w:t>
            </w:r>
            <w:r w:rsidRPr="00363F4F">
              <w:rPr>
                <w:rFonts w:ascii="Calibri" w:eastAsia="Times New Roman" w:hAnsi="Calibri" w:cs="Calibri"/>
                <w:b/>
                <w:bCs/>
                <w:color w:val="FFFFFF"/>
                <w:sz w:val="18"/>
                <w:szCs w:val="18"/>
                <w:lang w:eastAsia="en-ZA"/>
              </w:rPr>
              <w:t>/2</w:t>
            </w:r>
            <w:r>
              <w:rPr>
                <w:rFonts w:ascii="Calibri" w:eastAsia="Times New Roman" w:hAnsi="Calibri" w:cs="Calibri"/>
                <w:b/>
                <w:bCs/>
                <w:color w:val="FFFFFF"/>
                <w:sz w:val="18"/>
                <w:szCs w:val="18"/>
                <w:lang w:eastAsia="en-ZA"/>
              </w:rPr>
              <w:t>1</w:t>
            </w:r>
          </w:p>
        </w:tc>
        <w:tc>
          <w:tcPr>
            <w:tcW w:w="1080" w:type="dxa"/>
            <w:shd w:val="clear" w:color="000000" w:fill="9B3737"/>
            <w:noWrap/>
            <w:vAlign w:val="bottom"/>
          </w:tcPr>
          <w:p w14:paraId="7D471A63" w14:textId="77777777" w:rsidR="00A73904" w:rsidRPr="00363F4F" w:rsidRDefault="00A73904" w:rsidP="001C03E0">
            <w:pPr>
              <w:spacing w:after="0" w:line="240" w:lineRule="auto"/>
              <w:jc w:val="right"/>
              <w:rPr>
                <w:rFonts w:ascii="Calibri" w:eastAsia="Times New Roman" w:hAnsi="Calibri" w:cs="Calibri"/>
                <w:b/>
                <w:bCs/>
                <w:color w:val="FFFFFF"/>
                <w:sz w:val="18"/>
                <w:szCs w:val="18"/>
                <w:lang w:eastAsia="en-ZA"/>
              </w:rPr>
            </w:pPr>
            <w:r w:rsidRPr="00363F4F">
              <w:rPr>
                <w:rFonts w:ascii="Calibri" w:eastAsia="Times New Roman" w:hAnsi="Calibri" w:cs="Calibri"/>
                <w:b/>
                <w:bCs/>
                <w:color w:val="FFFFFF"/>
                <w:sz w:val="18"/>
                <w:szCs w:val="18"/>
                <w:lang w:eastAsia="en-ZA"/>
              </w:rPr>
              <w:t>202</w:t>
            </w:r>
            <w:r>
              <w:rPr>
                <w:rFonts w:ascii="Calibri" w:eastAsia="Times New Roman" w:hAnsi="Calibri" w:cs="Calibri"/>
                <w:b/>
                <w:bCs/>
                <w:color w:val="FFFFFF"/>
                <w:sz w:val="18"/>
                <w:szCs w:val="18"/>
                <w:lang w:eastAsia="en-ZA"/>
              </w:rPr>
              <w:t>1</w:t>
            </w:r>
            <w:r w:rsidRPr="00363F4F">
              <w:rPr>
                <w:rFonts w:ascii="Calibri" w:eastAsia="Times New Roman" w:hAnsi="Calibri" w:cs="Calibri"/>
                <w:b/>
                <w:bCs/>
                <w:color w:val="FFFFFF"/>
                <w:sz w:val="18"/>
                <w:szCs w:val="18"/>
                <w:lang w:eastAsia="en-ZA"/>
              </w:rPr>
              <w:t>/2</w:t>
            </w:r>
            <w:r>
              <w:rPr>
                <w:rFonts w:ascii="Calibri" w:eastAsia="Times New Roman" w:hAnsi="Calibri" w:cs="Calibri"/>
                <w:b/>
                <w:bCs/>
                <w:color w:val="FFFFFF"/>
                <w:sz w:val="18"/>
                <w:szCs w:val="18"/>
                <w:lang w:eastAsia="en-ZA"/>
              </w:rPr>
              <w:t>2</w:t>
            </w:r>
          </w:p>
        </w:tc>
        <w:tc>
          <w:tcPr>
            <w:tcW w:w="1080" w:type="dxa"/>
            <w:shd w:val="clear" w:color="000000" w:fill="9B3737"/>
            <w:noWrap/>
            <w:vAlign w:val="bottom"/>
          </w:tcPr>
          <w:p w14:paraId="2BCC3789" w14:textId="77777777" w:rsidR="00A73904" w:rsidRPr="00363F4F" w:rsidRDefault="00A73904" w:rsidP="001C03E0">
            <w:pPr>
              <w:spacing w:after="0" w:line="240" w:lineRule="auto"/>
              <w:jc w:val="right"/>
              <w:rPr>
                <w:rFonts w:ascii="Calibri" w:eastAsia="Times New Roman" w:hAnsi="Calibri" w:cs="Calibri"/>
                <w:b/>
                <w:bCs/>
                <w:color w:val="FFFFFF"/>
                <w:sz w:val="18"/>
                <w:szCs w:val="18"/>
                <w:lang w:eastAsia="en-ZA"/>
              </w:rPr>
            </w:pPr>
            <w:r w:rsidRPr="00363F4F">
              <w:rPr>
                <w:rFonts w:ascii="Calibri" w:eastAsia="Times New Roman" w:hAnsi="Calibri" w:cs="Calibri"/>
                <w:b/>
                <w:bCs/>
                <w:color w:val="FFFFFF" w:themeColor="background1"/>
                <w:sz w:val="18"/>
                <w:szCs w:val="18"/>
                <w:lang w:eastAsia="en-ZA"/>
              </w:rPr>
              <w:t>202</w:t>
            </w:r>
            <w:r>
              <w:rPr>
                <w:rFonts w:ascii="Calibri" w:eastAsia="Times New Roman" w:hAnsi="Calibri" w:cs="Calibri"/>
                <w:b/>
                <w:bCs/>
                <w:color w:val="FFFFFF" w:themeColor="background1"/>
                <w:sz w:val="18"/>
                <w:szCs w:val="18"/>
                <w:lang w:eastAsia="en-ZA"/>
              </w:rPr>
              <w:t>2</w:t>
            </w:r>
            <w:r w:rsidRPr="00363F4F">
              <w:rPr>
                <w:rFonts w:ascii="Calibri" w:eastAsia="Times New Roman" w:hAnsi="Calibri" w:cs="Calibri"/>
                <w:b/>
                <w:bCs/>
                <w:color w:val="FFFFFF" w:themeColor="background1"/>
                <w:sz w:val="18"/>
                <w:szCs w:val="18"/>
                <w:lang w:eastAsia="en-ZA"/>
              </w:rPr>
              <w:t>/2</w:t>
            </w:r>
            <w:r>
              <w:rPr>
                <w:rFonts w:ascii="Calibri" w:eastAsia="Times New Roman" w:hAnsi="Calibri" w:cs="Calibri"/>
                <w:b/>
                <w:bCs/>
                <w:color w:val="FFFFFF" w:themeColor="background1"/>
                <w:sz w:val="18"/>
                <w:szCs w:val="18"/>
                <w:lang w:eastAsia="en-ZA"/>
              </w:rPr>
              <w:t>3</w:t>
            </w:r>
          </w:p>
        </w:tc>
        <w:tc>
          <w:tcPr>
            <w:tcW w:w="1080" w:type="dxa"/>
            <w:shd w:val="clear" w:color="000000" w:fill="9B3737"/>
            <w:noWrap/>
            <w:vAlign w:val="bottom"/>
          </w:tcPr>
          <w:p w14:paraId="547B4814" w14:textId="77777777" w:rsidR="00A73904" w:rsidRPr="00363F4F" w:rsidRDefault="00A73904" w:rsidP="001C03E0">
            <w:pPr>
              <w:spacing w:after="0" w:line="240" w:lineRule="auto"/>
              <w:jc w:val="right"/>
              <w:rPr>
                <w:rFonts w:ascii="Calibri" w:eastAsia="Times New Roman" w:hAnsi="Calibri" w:cs="Calibri"/>
                <w:b/>
                <w:bCs/>
                <w:color w:val="FFFFFF"/>
                <w:sz w:val="18"/>
                <w:szCs w:val="18"/>
                <w:lang w:eastAsia="en-ZA"/>
              </w:rPr>
            </w:pPr>
            <w:r w:rsidRPr="00363F4F">
              <w:rPr>
                <w:rFonts w:ascii="Calibri" w:eastAsia="Times New Roman" w:hAnsi="Calibri" w:cs="Calibri"/>
                <w:b/>
                <w:bCs/>
                <w:color w:val="FFFFFF" w:themeColor="background1"/>
                <w:sz w:val="18"/>
                <w:szCs w:val="18"/>
                <w:lang w:eastAsia="en-ZA"/>
              </w:rPr>
              <w:t>202</w:t>
            </w:r>
            <w:r>
              <w:rPr>
                <w:rFonts w:ascii="Calibri" w:eastAsia="Times New Roman" w:hAnsi="Calibri" w:cs="Calibri"/>
                <w:b/>
                <w:bCs/>
                <w:color w:val="FFFFFF" w:themeColor="background1"/>
                <w:sz w:val="18"/>
                <w:szCs w:val="18"/>
                <w:lang w:eastAsia="en-ZA"/>
              </w:rPr>
              <w:t>3</w:t>
            </w:r>
            <w:r w:rsidRPr="00363F4F">
              <w:rPr>
                <w:rFonts w:ascii="Calibri" w:eastAsia="Times New Roman" w:hAnsi="Calibri" w:cs="Calibri"/>
                <w:b/>
                <w:bCs/>
                <w:color w:val="FFFFFF" w:themeColor="background1"/>
                <w:sz w:val="18"/>
                <w:szCs w:val="18"/>
                <w:lang w:eastAsia="en-ZA"/>
              </w:rPr>
              <w:t>/2</w:t>
            </w:r>
            <w:r>
              <w:rPr>
                <w:rFonts w:ascii="Calibri" w:eastAsia="Times New Roman" w:hAnsi="Calibri" w:cs="Calibri"/>
                <w:b/>
                <w:bCs/>
                <w:color w:val="FFFFFF" w:themeColor="background1"/>
                <w:sz w:val="18"/>
                <w:szCs w:val="18"/>
                <w:lang w:eastAsia="en-ZA"/>
              </w:rPr>
              <w:t>4</w:t>
            </w:r>
          </w:p>
        </w:tc>
      </w:tr>
      <w:tr w:rsidR="00A73904" w:rsidRPr="001B4988" w14:paraId="3B223F2A" w14:textId="77777777" w:rsidTr="001C03E0">
        <w:trPr>
          <w:trHeight w:val="288"/>
        </w:trPr>
        <w:tc>
          <w:tcPr>
            <w:tcW w:w="4207" w:type="dxa"/>
            <w:shd w:val="clear" w:color="auto" w:fill="auto"/>
            <w:noWrap/>
            <w:vAlign w:val="bottom"/>
            <w:hideMark/>
          </w:tcPr>
          <w:p w14:paraId="5B161951" w14:textId="77777777" w:rsidR="00A73904" w:rsidRPr="00080EF1" w:rsidRDefault="00A73904" w:rsidP="001C03E0">
            <w:pPr>
              <w:spacing w:after="0" w:line="240" w:lineRule="auto"/>
              <w:rPr>
                <w:rFonts w:ascii="Calibri" w:eastAsia="Times New Roman" w:hAnsi="Calibri" w:cs="Calibri"/>
                <w:color w:val="000000"/>
                <w:sz w:val="18"/>
                <w:szCs w:val="18"/>
                <w:lang w:eastAsia="en-ZA"/>
              </w:rPr>
            </w:pPr>
            <w:r w:rsidRPr="00080EF1">
              <w:rPr>
                <w:rFonts w:ascii="Calibri" w:eastAsia="Times New Roman" w:hAnsi="Calibri" w:cs="Calibri"/>
                <w:color w:val="000000"/>
                <w:sz w:val="18"/>
                <w:szCs w:val="18"/>
                <w:lang w:eastAsia="en-ZA"/>
              </w:rPr>
              <w:t>S&amp;W: BASIC SALARY</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9D61316"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4A72AF4"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27A523"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7F70907" w14:textId="77777777" w:rsidR="00A73904" w:rsidRPr="00624B19" w:rsidRDefault="00A73904" w:rsidP="001C03E0">
            <w:pPr>
              <w:spacing w:after="0" w:line="240" w:lineRule="auto"/>
              <w:jc w:val="right"/>
              <w:rPr>
                <w:rFonts w:ascii="Calibri" w:eastAsia="Times New Roman" w:hAnsi="Calibri" w:cs="Calibri"/>
                <w:color w:val="FFFFFF" w:themeColor="background1"/>
                <w:sz w:val="18"/>
                <w:szCs w:val="18"/>
                <w:lang w:eastAsia="en-ZA"/>
              </w:rPr>
            </w:pPr>
            <w:r w:rsidRPr="00C24658">
              <w:rPr>
                <w:rFonts w:ascii="Calibri" w:eastAsia="Times New Roman" w:hAnsi="Calibri" w:cs="Calibri"/>
                <w:color w:val="000000"/>
                <w:sz w:val="18"/>
                <w:szCs w:val="18"/>
                <w:lang w:eastAsia="en-ZA"/>
              </w:rPr>
              <w:t>0%</w:t>
            </w:r>
          </w:p>
        </w:tc>
      </w:tr>
      <w:tr w:rsidR="00A73904" w:rsidRPr="001B4988" w14:paraId="44BBED77" w14:textId="77777777" w:rsidTr="001C03E0">
        <w:trPr>
          <w:trHeight w:val="288"/>
        </w:trPr>
        <w:tc>
          <w:tcPr>
            <w:tcW w:w="4207" w:type="dxa"/>
            <w:shd w:val="clear" w:color="auto" w:fill="auto"/>
            <w:noWrap/>
            <w:vAlign w:val="bottom"/>
            <w:hideMark/>
          </w:tcPr>
          <w:p w14:paraId="2BDDFE22" w14:textId="77777777" w:rsidR="00A73904" w:rsidRPr="00080EF1" w:rsidRDefault="00A73904" w:rsidP="001C03E0">
            <w:pPr>
              <w:spacing w:after="0" w:line="240" w:lineRule="auto"/>
              <w:rPr>
                <w:rFonts w:ascii="Calibri" w:eastAsia="Times New Roman" w:hAnsi="Calibri" w:cs="Calibri"/>
                <w:color w:val="000000"/>
                <w:sz w:val="18"/>
                <w:szCs w:val="18"/>
                <w:lang w:eastAsia="en-ZA"/>
              </w:rPr>
            </w:pPr>
            <w:r w:rsidRPr="00080EF1">
              <w:rPr>
                <w:rFonts w:ascii="Calibri" w:eastAsia="Times New Roman" w:hAnsi="Calibri" w:cs="Calibri"/>
                <w:color w:val="000000"/>
                <w:sz w:val="18"/>
                <w:szCs w:val="18"/>
                <w:lang w:eastAsia="en-ZA"/>
              </w:rPr>
              <w:t>S&amp;W:HOUSING ALLOWANCE</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E6B29F3"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0355A0B"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9CC411F"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BEB161B" w14:textId="77777777" w:rsidR="00A73904" w:rsidRPr="00624B19" w:rsidRDefault="00A73904" w:rsidP="001C03E0">
            <w:pPr>
              <w:spacing w:after="0" w:line="240" w:lineRule="auto"/>
              <w:jc w:val="right"/>
              <w:rPr>
                <w:rFonts w:ascii="Calibri" w:eastAsia="Times New Roman" w:hAnsi="Calibri" w:cs="Calibri"/>
                <w:color w:val="FFFFFF" w:themeColor="background1"/>
                <w:sz w:val="18"/>
                <w:szCs w:val="18"/>
                <w:lang w:eastAsia="en-ZA"/>
              </w:rPr>
            </w:pPr>
            <w:r w:rsidRPr="00C24658">
              <w:rPr>
                <w:rFonts w:ascii="Calibri" w:eastAsia="Times New Roman" w:hAnsi="Calibri" w:cs="Calibri"/>
                <w:color w:val="000000"/>
                <w:sz w:val="18"/>
                <w:szCs w:val="18"/>
                <w:lang w:eastAsia="en-ZA"/>
              </w:rPr>
              <w:t>0%</w:t>
            </w:r>
          </w:p>
        </w:tc>
      </w:tr>
      <w:tr w:rsidR="00A73904" w:rsidRPr="001B4988" w14:paraId="13FF77B2" w14:textId="77777777" w:rsidTr="001C03E0">
        <w:trPr>
          <w:trHeight w:val="288"/>
        </w:trPr>
        <w:tc>
          <w:tcPr>
            <w:tcW w:w="4207" w:type="dxa"/>
            <w:shd w:val="clear" w:color="auto" w:fill="auto"/>
            <w:noWrap/>
            <w:vAlign w:val="bottom"/>
            <w:hideMark/>
          </w:tcPr>
          <w:p w14:paraId="7891B808" w14:textId="77777777" w:rsidR="00A73904" w:rsidRPr="00363F4F" w:rsidRDefault="00A73904" w:rsidP="001C03E0">
            <w:pPr>
              <w:spacing w:after="0" w:line="240" w:lineRule="auto"/>
              <w:rPr>
                <w:rFonts w:ascii="Calibri" w:eastAsia="Times New Roman" w:hAnsi="Calibri" w:cs="Calibri"/>
                <w:color w:val="000000"/>
                <w:sz w:val="18"/>
                <w:szCs w:val="18"/>
                <w:lang w:eastAsia="en-ZA"/>
              </w:rPr>
            </w:pPr>
            <w:r w:rsidRPr="00080EF1">
              <w:rPr>
                <w:rFonts w:ascii="Calibri" w:eastAsia="Times New Roman" w:hAnsi="Calibri" w:cs="Calibri"/>
                <w:color w:val="000000"/>
                <w:sz w:val="18"/>
                <w:szCs w:val="18"/>
                <w:lang w:eastAsia="en-ZA"/>
              </w:rPr>
              <w:t xml:space="preserve">S&amp;W:OVERTIME </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094E07E4"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1916868"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25F2890"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7A3DA6D" w14:textId="77777777" w:rsidR="00A73904" w:rsidRPr="00624B19" w:rsidRDefault="00A73904" w:rsidP="001C03E0">
            <w:pPr>
              <w:spacing w:after="0" w:line="240" w:lineRule="auto"/>
              <w:jc w:val="right"/>
              <w:rPr>
                <w:rFonts w:ascii="Calibri" w:eastAsia="Times New Roman" w:hAnsi="Calibri" w:cs="Calibri"/>
                <w:color w:val="FFFFFF" w:themeColor="background1"/>
                <w:sz w:val="18"/>
                <w:szCs w:val="18"/>
                <w:lang w:eastAsia="en-ZA"/>
              </w:rPr>
            </w:pPr>
            <w:r w:rsidRPr="00C24658">
              <w:rPr>
                <w:rFonts w:ascii="Calibri" w:eastAsia="Times New Roman" w:hAnsi="Calibri" w:cs="Calibri"/>
                <w:color w:val="000000"/>
                <w:sz w:val="18"/>
                <w:szCs w:val="18"/>
                <w:lang w:eastAsia="en-ZA"/>
              </w:rPr>
              <w:t>0%</w:t>
            </w:r>
          </w:p>
        </w:tc>
      </w:tr>
      <w:tr w:rsidR="00A73904" w:rsidRPr="001B4988" w14:paraId="49317A0E" w14:textId="77777777" w:rsidTr="001C03E0">
        <w:trPr>
          <w:trHeight w:val="288"/>
        </w:trPr>
        <w:tc>
          <w:tcPr>
            <w:tcW w:w="4207" w:type="dxa"/>
            <w:shd w:val="clear" w:color="auto" w:fill="auto"/>
            <w:noWrap/>
            <w:vAlign w:val="bottom"/>
            <w:hideMark/>
          </w:tcPr>
          <w:p w14:paraId="4A9F90F3" w14:textId="77777777" w:rsidR="00A73904" w:rsidRPr="00363F4F" w:rsidRDefault="00A73904" w:rsidP="001C03E0">
            <w:pPr>
              <w:spacing w:after="0" w:line="240" w:lineRule="auto"/>
              <w:rPr>
                <w:rFonts w:ascii="Calibri" w:eastAsia="Times New Roman" w:hAnsi="Calibri" w:cs="Calibri"/>
                <w:color w:val="000000"/>
                <w:sz w:val="18"/>
                <w:szCs w:val="18"/>
                <w:lang w:eastAsia="en-ZA"/>
              </w:rPr>
            </w:pPr>
            <w:r w:rsidRPr="00080EF1">
              <w:rPr>
                <w:rFonts w:ascii="Calibri" w:eastAsia="Times New Roman" w:hAnsi="Calibri" w:cs="Calibri"/>
                <w:color w:val="000000"/>
                <w:sz w:val="18"/>
                <w:szCs w:val="18"/>
                <w:lang w:eastAsia="en-ZA"/>
              </w:rPr>
              <w:t>EMPL CONTR:MEDICAL</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6889756"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122AF03"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AA0C7BA"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51B08E8" w14:textId="77777777" w:rsidR="00A73904" w:rsidRPr="00624B19" w:rsidRDefault="00A73904" w:rsidP="001C03E0">
            <w:pPr>
              <w:spacing w:after="0" w:line="240" w:lineRule="auto"/>
              <w:jc w:val="right"/>
              <w:rPr>
                <w:rFonts w:ascii="Calibri" w:eastAsia="Times New Roman" w:hAnsi="Calibri" w:cs="Calibri"/>
                <w:color w:val="FFFFFF" w:themeColor="background1"/>
                <w:sz w:val="18"/>
                <w:szCs w:val="18"/>
                <w:lang w:eastAsia="en-ZA"/>
              </w:rPr>
            </w:pPr>
            <w:r w:rsidRPr="00C24658">
              <w:rPr>
                <w:rFonts w:ascii="Calibri" w:eastAsia="Times New Roman" w:hAnsi="Calibri" w:cs="Calibri"/>
                <w:color w:val="000000"/>
                <w:sz w:val="18"/>
                <w:szCs w:val="18"/>
                <w:lang w:eastAsia="en-ZA"/>
              </w:rPr>
              <w:t>0%</w:t>
            </w:r>
          </w:p>
        </w:tc>
      </w:tr>
      <w:tr w:rsidR="00A73904" w:rsidRPr="001B4988" w14:paraId="08B07869" w14:textId="77777777" w:rsidTr="001C03E0">
        <w:trPr>
          <w:trHeight w:val="288"/>
        </w:trPr>
        <w:tc>
          <w:tcPr>
            <w:tcW w:w="4207" w:type="dxa"/>
            <w:shd w:val="clear" w:color="auto" w:fill="auto"/>
            <w:noWrap/>
            <w:vAlign w:val="bottom"/>
            <w:hideMark/>
          </w:tcPr>
          <w:p w14:paraId="0A2459C2" w14:textId="77777777" w:rsidR="00A73904" w:rsidRPr="00080EF1" w:rsidRDefault="00A73904" w:rsidP="001C03E0">
            <w:pPr>
              <w:spacing w:after="0" w:line="240" w:lineRule="auto"/>
              <w:rPr>
                <w:rFonts w:ascii="Calibri" w:eastAsia="Times New Roman" w:hAnsi="Calibri" w:cs="Calibri"/>
                <w:color w:val="000000"/>
                <w:sz w:val="18"/>
                <w:szCs w:val="18"/>
                <w:lang w:eastAsia="en-ZA"/>
              </w:rPr>
            </w:pPr>
            <w:r w:rsidRPr="00080EF1">
              <w:rPr>
                <w:rFonts w:ascii="Calibri" w:eastAsia="Times New Roman" w:hAnsi="Calibri" w:cs="Calibri"/>
                <w:color w:val="000000"/>
                <w:sz w:val="18"/>
                <w:szCs w:val="18"/>
                <w:lang w:eastAsia="en-ZA"/>
              </w:rPr>
              <w:t>EMPL CONTR:PENSION</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F9425D1"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17BA18F"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EF1D499"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E75CFC3" w14:textId="77777777" w:rsidR="00A73904" w:rsidRPr="00624B19" w:rsidRDefault="00A73904" w:rsidP="001C03E0">
            <w:pPr>
              <w:spacing w:after="0" w:line="240" w:lineRule="auto"/>
              <w:jc w:val="right"/>
              <w:rPr>
                <w:rFonts w:ascii="Calibri" w:eastAsia="Times New Roman" w:hAnsi="Calibri" w:cs="Calibri"/>
                <w:color w:val="FFFFFF" w:themeColor="background1"/>
                <w:sz w:val="18"/>
                <w:szCs w:val="18"/>
                <w:lang w:eastAsia="en-ZA"/>
              </w:rPr>
            </w:pPr>
            <w:r w:rsidRPr="00C24658">
              <w:rPr>
                <w:rFonts w:ascii="Calibri" w:eastAsia="Times New Roman" w:hAnsi="Calibri" w:cs="Calibri"/>
                <w:color w:val="000000"/>
                <w:sz w:val="18"/>
                <w:szCs w:val="18"/>
                <w:lang w:eastAsia="en-ZA"/>
              </w:rPr>
              <w:t>0%</w:t>
            </w:r>
          </w:p>
        </w:tc>
      </w:tr>
      <w:tr w:rsidR="00A73904" w:rsidRPr="001B4988" w14:paraId="1D85FF37" w14:textId="77777777" w:rsidTr="001C03E0">
        <w:trPr>
          <w:trHeight w:val="288"/>
        </w:trPr>
        <w:tc>
          <w:tcPr>
            <w:tcW w:w="4207" w:type="dxa"/>
            <w:shd w:val="clear" w:color="auto" w:fill="auto"/>
            <w:noWrap/>
            <w:vAlign w:val="bottom"/>
            <w:hideMark/>
          </w:tcPr>
          <w:p w14:paraId="7507FE54" w14:textId="77777777" w:rsidR="00A73904" w:rsidRPr="00363F4F" w:rsidRDefault="00A73904" w:rsidP="001C03E0">
            <w:pPr>
              <w:spacing w:after="0" w:line="240" w:lineRule="auto"/>
              <w:rPr>
                <w:rFonts w:ascii="Calibri" w:eastAsia="Times New Roman" w:hAnsi="Calibri" w:cs="Calibri"/>
                <w:color w:val="000000"/>
                <w:sz w:val="18"/>
                <w:szCs w:val="18"/>
                <w:lang w:eastAsia="en-ZA"/>
              </w:rPr>
            </w:pPr>
            <w:r w:rsidRPr="00080EF1">
              <w:rPr>
                <w:rFonts w:ascii="Calibri" w:eastAsia="Times New Roman" w:hAnsi="Calibri" w:cs="Calibri"/>
                <w:color w:val="000000"/>
                <w:sz w:val="18"/>
                <w:szCs w:val="18"/>
                <w:lang w:eastAsia="en-ZA"/>
              </w:rPr>
              <w:t>S&amp;W:PERFORMANCE BONUS</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EB4C078"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748A16D"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865804F"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C24658">
              <w:rPr>
                <w:rFonts w:ascii="Calibri" w:eastAsia="Times New Roman" w:hAnsi="Calibri" w:cs="Calibri"/>
                <w:color w:val="000000"/>
                <w:sz w:val="18"/>
                <w:szCs w:val="18"/>
                <w:lang w:eastAsia="en-ZA"/>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8F80288" w14:textId="77777777" w:rsidR="00A73904" w:rsidRPr="00624B19" w:rsidRDefault="00A73904" w:rsidP="001C03E0">
            <w:pPr>
              <w:spacing w:after="0" w:line="240" w:lineRule="auto"/>
              <w:jc w:val="right"/>
              <w:rPr>
                <w:rFonts w:ascii="Calibri" w:eastAsia="Times New Roman" w:hAnsi="Calibri" w:cs="Calibri"/>
                <w:color w:val="FFFFFF" w:themeColor="background1"/>
                <w:sz w:val="18"/>
                <w:szCs w:val="18"/>
                <w:lang w:eastAsia="en-ZA"/>
              </w:rPr>
            </w:pPr>
            <w:r w:rsidRPr="00C24658">
              <w:rPr>
                <w:rFonts w:ascii="Calibri" w:eastAsia="Times New Roman" w:hAnsi="Calibri" w:cs="Calibri"/>
                <w:color w:val="000000"/>
                <w:sz w:val="18"/>
                <w:szCs w:val="18"/>
                <w:lang w:eastAsia="en-ZA"/>
              </w:rPr>
              <w:t>0%</w:t>
            </w:r>
          </w:p>
        </w:tc>
      </w:tr>
      <w:tr w:rsidR="00A73904" w:rsidRPr="00074A02" w14:paraId="74ADFFF0" w14:textId="77777777" w:rsidTr="001C03E0">
        <w:trPr>
          <w:trHeight w:val="288"/>
        </w:trPr>
        <w:tc>
          <w:tcPr>
            <w:tcW w:w="4207" w:type="dxa"/>
            <w:shd w:val="clear" w:color="auto" w:fill="auto"/>
            <w:noWrap/>
            <w:vAlign w:val="bottom"/>
            <w:hideMark/>
          </w:tcPr>
          <w:p w14:paraId="389C925C" w14:textId="77777777" w:rsidR="00A73904" w:rsidRPr="00080EF1" w:rsidRDefault="00A73904" w:rsidP="001C03E0">
            <w:pPr>
              <w:spacing w:after="0" w:line="240" w:lineRule="auto"/>
              <w:rPr>
                <w:rFonts w:ascii="Calibri" w:eastAsia="Times New Roman" w:hAnsi="Calibri" w:cs="Calibri"/>
                <w:color w:val="000000"/>
                <w:sz w:val="18"/>
                <w:szCs w:val="18"/>
                <w:lang w:eastAsia="en-ZA"/>
              </w:rPr>
            </w:pPr>
            <w:r w:rsidRPr="00080EF1">
              <w:rPr>
                <w:rFonts w:ascii="Calibri" w:eastAsia="Times New Roman" w:hAnsi="Calibri" w:cs="Calibri"/>
                <w:color w:val="000000"/>
                <w:sz w:val="18"/>
                <w:szCs w:val="18"/>
                <w:lang w:eastAsia="en-ZA"/>
              </w:rPr>
              <w:t>ALL OTHER</w:t>
            </w:r>
          </w:p>
        </w:tc>
        <w:tc>
          <w:tcPr>
            <w:tcW w:w="1350" w:type="dxa"/>
            <w:tcBorders>
              <w:top w:val="single" w:sz="4" w:space="0" w:color="auto"/>
              <w:left w:val="nil"/>
              <w:bottom w:val="single" w:sz="4" w:space="0" w:color="auto"/>
              <w:right w:val="single" w:sz="4" w:space="0" w:color="auto"/>
            </w:tcBorders>
            <w:shd w:val="clear" w:color="auto" w:fill="auto"/>
            <w:noWrap/>
          </w:tcPr>
          <w:p w14:paraId="69A7A1CB"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CPI</w:t>
            </w:r>
          </w:p>
        </w:tc>
        <w:tc>
          <w:tcPr>
            <w:tcW w:w="1080" w:type="dxa"/>
            <w:tcBorders>
              <w:top w:val="single" w:sz="4" w:space="0" w:color="auto"/>
              <w:left w:val="nil"/>
              <w:bottom w:val="single" w:sz="4" w:space="0" w:color="auto"/>
              <w:right w:val="single" w:sz="4" w:space="0" w:color="auto"/>
            </w:tcBorders>
            <w:shd w:val="clear" w:color="auto" w:fill="auto"/>
            <w:noWrap/>
          </w:tcPr>
          <w:p w14:paraId="5EF6E8CC"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FE6A7C">
              <w:rPr>
                <w:rFonts w:ascii="Calibri" w:eastAsia="Times New Roman" w:hAnsi="Calibri" w:cs="Calibri"/>
                <w:color w:val="000000"/>
                <w:sz w:val="18"/>
                <w:szCs w:val="18"/>
                <w:lang w:eastAsia="en-ZA"/>
              </w:rPr>
              <w:t>CPI</w:t>
            </w:r>
          </w:p>
        </w:tc>
        <w:tc>
          <w:tcPr>
            <w:tcW w:w="1080" w:type="dxa"/>
            <w:tcBorders>
              <w:top w:val="single" w:sz="4" w:space="0" w:color="auto"/>
              <w:left w:val="nil"/>
              <w:bottom w:val="single" w:sz="4" w:space="0" w:color="auto"/>
              <w:right w:val="single" w:sz="4" w:space="0" w:color="auto"/>
            </w:tcBorders>
            <w:shd w:val="clear" w:color="auto" w:fill="auto"/>
            <w:noWrap/>
          </w:tcPr>
          <w:p w14:paraId="414DC435" w14:textId="77777777" w:rsidR="00A73904" w:rsidRPr="00624B19" w:rsidRDefault="00A73904" w:rsidP="001C03E0">
            <w:pPr>
              <w:spacing w:after="0" w:line="240" w:lineRule="auto"/>
              <w:jc w:val="right"/>
              <w:rPr>
                <w:rFonts w:ascii="Calibri" w:eastAsia="Times New Roman" w:hAnsi="Calibri" w:cs="Calibri"/>
                <w:color w:val="000000"/>
                <w:sz w:val="18"/>
                <w:szCs w:val="18"/>
                <w:lang w:eastAsia="en-ZA"/>
              </w:rPr>
            </w:pPr>
            <w:r w:rsidRPr="00FE6A7C">
              <w:rPr>
                <w:rFonts w:ascii="Calibri" w:eastAsia="Times New Roman" w:hAnsi="Calibri" w:cs="Calibri"/>
                <w:color w:val="000000"/>
                <w:sz w:val="18"/>
                <w:szCs w:val="18"/>
                <w:lang w:eastAsia="en-ZA"/>
              </w:rPr>
              <w:t>CPI</w:t>
            </w:r>
          </w:p>
        </w:tc>
        <w:tc>
          <w:tcPr>
            <w:tcW w:w="1080" w:type="dxa"/>
            <w:tcBorders>
              <w:top w:val="single" w:sz="4" w:space="0" w:color="auto"/>
              <w:left w:val="nil"/>
              <w:bottom w:val="single" w:sz="4" w:space="0" w:color="auto"/>
              <w:right w:val="single" w:sz="4" w:space="0" w:color="auto"/>
            </w:tcBorders>
            <w:shd w:val="clear" w:color="auto" w:fill="auto"/>
            <w:noWrap/>
          </w:tcPr>
          <w:p w14:paraId="5F6D06E2" w14:textId="77777777" w:rsidR="00A73904" w:rsidRPr="00624B19" w:rsidRDefault="00A73904" w:rsidP="001C03E0">
            <w:pPr>
              <w:spacing w:after="0" w:line="240" w:lineRule="auto"/>
              <w:jc w:val="right"/>
              <w:rPr>
                <w:rFonts w:ascii="Calibri" w:eastAsia="Times New Roman" w:hAnsi="Calibri" w:cs="Calibri"/>
                <w:color w:val="FFFFFF" w:themeColor="background1"/>
                <w:sz w:val="18"/>
                <w:szCs w:val="18"/>
                <w:lang w:eastAsia="en-ZA"/>
              </w:rPr>
            </w:pPr>
            <w:r>
              <w:rPr>
                <w:rFonts w:ascii="Calibri" w:eastAsia="Times New Roman" w:hAnsi="Calibri" w:cs="Calibri"/>
                <w:color w:val="000000"/>
                <w:sz w:val="18"/>
                <w:szCs w:val="18"/>
                <w:lang w:eastAsia="en-ZA"/>
              </w:rPr>
              <w:t>CPI</w:t>
            </w:r>
          </w:p>
        </w:tc>
      </w:tr>
    </w:tbl>
    <w:p w14:paraId="00C3BAAC" w14:textId="77777777" w:rsidR="00A73904" w:rsidRDefault="00A73904" w:rsidP="002F7005">
      <w:pPr>
        <w:ind w:left="1170" w:hanging="630"/>
        <w:jc w:val="both"/>
        <w:rPr>
          <w:rFonts w:cstheme="minorHAnsi"/>
          <w:b/>
        </w:rPr>
      </w:pPr>
    </w:p>
    <w:p w14:paraId="1D4F673C" w14:textId="51B3BEF9" w:rsidR="00DF1C26" w:rsidRPr="00E00D86" w:rsidRDefault="001119CC" w:rsidP="00E00D86">
      <w:pPr>
        <w:pStyle w:val="Heading1"/>
        <w:tabs>
          <w:tab w:val="left" w:pos="720"/>
        </w:tabs>
        <w:ind w:left="720" w:hanging="720"/>
      </w:pPr>
      <w:r>
        <w:lastRenderedPageBreak/>
        <w:t>Public Entity Personnel Database</w:t>
      </w:r>
      <w:r w:rsidR="0087203D">
        <w:t xml:space="preserve"> for National Departments</w:t>
      </w:r>
    </w:p>
    <w:p w14:paraId="0A382C03" w14:textId="77777777" w:rsidR="00E11932" w:rsidRPr="00E00D86" w:rsidRDefault="001119CC" w:rsidP="002F7005">
      <w:pPr>
        <w:pStyle w:val="ListParagraph"/>
        <w:numPr>
          <w:ilvl w:val="1"/>
          <w:numId w:val="1"/>
        </w:numPr>
        <w:ind w:left="720" w:hanging="720"/>
        <w:jc w:val="both"/>
        <w:rPr>
          <w:rFonts w:cstheme="minorHAnsi"/>
          <w:lang w:val="en-US"/>
        </w:rPr>
      </w:pPr>
      <w:r>
        <w:rPr>
          <w:rFonts w:cstheme="minorHAnsi"/>
          <w:lang w:val="en-US"/>
        </w:rPr>
        <w:t xml:space="preserve">No changes have been effected to the </w:t>
      </w:r>
      <w:r w:rsidR="00D444B5">
        <w:rPr>
          <w:rFonts w:cstheme="minorHAnsi"/>
          <w:lang w:val="en-US"/>
        </w:rPr>
        <w:t xml:space="preserve">national </w:t>
      </w:r>
      <w:r>
        <w:rPr>
          <w:rFonts w:cstheme="minorHAnsi"/>
          <w:lang w:val="en-US"/>
        </w:rPr>
        <w:t>public entity personnel database</w:t>
      </w:r>
      <w:r w:rsidR="00DF1C26" w:rsidRPr="00E00D86">
        <w:rPr>
          <w:rFonts w:cstheme="minorHAnsi"/>
          <w:lang w:val="en-US"/>
        </w:rPr>
        <w:t xml:space="preserve">. </w:t>
      </w:r>
      <w:r w:rsidR="00BC4B5C">
        <w:rPr>
          <w:rFonts w:cstheme="minorHAnsi"/>
          <w:lang w:val="en-US"/>
        </w:rPr>
        <w:t>Information</w:t>
      </w:r>
      <w:r>
        <w:rPr>
          <w:rFonts w:cstheme="minorHAnsi"/>
          <w:lang w:val="en-US"/>
        </w:rPr>
        <w:t xml:space="preserve"> relating to completion of the </w:t>
      </w:r>
      <w:r w:rsidR="005B0408">
        <w:rPr>
          <w:rFonts w:cstheme="minorHAnsi"/>
          <w:lang w:val="en-US"/>
        </w:rPr>
        <w:t>database</w:t>
      </w:r>
      <w:r>
        <w:rPr>
          <w:rFonts w:cstheme="minorHAnsi"/>
          <w:lang w:val="en-US"/>
        </w:rPr>
        <w:t xml:space="preserve"> </w:t>
      </w:r>
      <w:r w:rsidR="005B0408">
        <w:rPr>
          <w:rFonts w:cstheme="minorHAnsi"/>
          <w:lang w:val="en-US"/>
        </w:rPr>
        <w:t xml:space="preserve">are contained </w:t>
      </w:r>
      <w:r w:rsidR="00BC4B5C">
        <w:rPr>
          <w:rFonts w:cstheme="minorHAnsi"/>
          <w:lang w:val="en-US"/>
        </w:rPr>
        <w:t>therein</w:t>
      </w:r>
      <w:r w:rsidR="005B0408">
        <w:rPr>
          <w:rFonts w:cstheme="minorHAnsi"/>
          <w:lang w:val="en-US"/>
        </w:rPr>
        <w:t>.</w:t>
      </w:r>
    </w:p>
    <w:p w14:paraId="27FD1FF2" w14:textId="3C5DD109" w:rsidR="00E11932" w:rsidRPr="00FA7104" w:rsidRDefault="005B0408" w:rsidP="00FA7104">
      <w:pPr>
        <w:pStyle w:val="ListParagraph"/>
        <w:numPr>
          <w:ilvl w:val="1"/>
          <w:numId w:val="1"/>
        </w:numPr>
        <w:ind w:left="720" w:hanging="720"/>
        <w:jc w:val="both"/>
        <w:rPr>
          <w:rFonts w:cstheme="minorHAnsi"/>
          <w:lang w:val="en-US"/>
        </w:rPr>
      </w:pPr>
      <w:r>
        <w:rPr>
          <w:rFonts w:cstheme="minorHAnsi"/>
          <w:lang w:val="en-US"/>
        </w:rPr>
        <w:t xml:space="preserve">Taking account of the compensation </w:t>
      </w:r>
      <w:r w:rsidR="0061086F">
        <w:rPr>
          <w:rFonts w:cstheme="minorHAnsi"/>
          <w:lang w:val="en-US"/>
        </w:rPr>
        <w:t xml:space="preserve">budget </w:t>
      </w:r>
      <w:r w:rsidR="00090476">
        <w:rPr>
          <w:rFonts w:cstheme="minorHAnsi"/>
          <w:lang w:val="en-US"/>
        </w:rPr>
        <w:t>reductions</w:t>
      </w:r>
      <w:r>
        <w:rPr>
          <w:rFonts w:cstheme="minorHAnsi"/>
          <w:lang w:val="en-US"/>
        </w:rPr>
        <w:t xml:space="preserve"> parameters referred to above, </w:t>
      </w:r>
      <w:r w:rsidR="00956765">
        <w:rPr>
          <w:rFonts w:cstheme="minorHAnsi"/>
          <w:lang w:val="en-US"/>
        </w:rPr>
        <w:t xml:space="preserve">all </w:t>
      </w:r>
      <w:r>
        <w:rPr>
          <w:rFonts w:cstheme="minorHAnsi"/>
          <w:lang w:val="en-US"/>
        </w:rPr>
        <w:t xml:space="preserve">public entities are expected to actively manage earnings and headcount to ensure they remain within </w:t>
      </w:r>
      <w:r w:rsidR="00BC4B5C">
        <w:rPr>
          <w:rFonts w:cstheme="minorHAnsi"/>
          <w:lang w:val="en-US"/>
        </w:rPr>
        <w:t xml:space="preserve">the </w:t>
      </w:r>
      <w:r>
        <w:rPr>
          <w:rFonts w:cstheme="minorHAnsi"/>
          <w:lang w:val="en-US"/>
        </w:rPr>
        <w:t>reduced compensation budgets</w:t>
      </w:r>
      <w:r w:rsidR="00DF1C26" w:rsidRPr="00FA7104">
        <w:rPr>
          <w:rFonts w:cstheme="minorHAnsi"/>
          <w:lang w:val="en-US"/>
        </w:rPr>
        <w:t>.</w:t>
      </w:r>
    </w:p>
    <w:p w14:paraId="34BF4AE0" w14:textId="6BE8E4D7" w:rsidR="0061311D" w:rsidRPr="00594B5F" w:rsidRDefault="00B47852" w:rsidP="0061311D">
      <w:pPr>
        <w:pStyle w:val="ListParagraph"/>
        <w:numPr>
          <w:ilvl w:val="1"/>
          <w:numId w:val="1"/>
        </w:numPr>
        <w:ind w:left="720" w:hanging="720"/>
        <w:jc w:val="both"/>
        <w:rPr>
          <w:rFonts w:cstheme="minorHAnsi"/>
          <w:lang w:val="en-US"/>
        </w:rPr>
      </w:pPr>
      <w:r>
        <w:rPr>
          <w:rFonts w:cstheme="minorHAnsi"/>
          <w:lang w:val="en-US"/>
        </w:rPr>
        <w:t>P</w:t>
      </w:r>
      <w:r w:rsidR="005B0408">
        <w:rPr>
          <w:rFonts w:cstheme="minorHAnsi"/>
          <w:lang w:val="en-US"/>
        </w:rPr>
        <w:t>ublic entities</w:t>
      </w:r>
      <w:r w:rsidR="005B0408" w:rsidRPr="00594B5F">
        <w:rPr>
          <w:rFonts w:cstheme="minorHAnsi"/>
          <w:lang w:val="en-US"/>
        </w:rPr>
        <w:t xml:space="preserve"> </w:t>
      </w:r>
      <w:r w:rsidR="0061311D" w:rsidRPr="00594B5F">
        <w:rPr>
          <w:rFonts w:cstheme="minorHAnsi"/>
          <w:lang w:val="en-US"/>
        </w:rPr>
        <w:t xml:space="preserve">experiencing serious </w:t>
      </w:r>
      <w:r w:rsidR="00CC358B" w:rsidRPr="00594B5F">
        <w:rPr>
          <w:rFonts w:cstheme="minorHAnsi"/>
          <w:lang w:val="en-US"/>
        </w:rPr>
        <w:t xml:space="preserve">underlying </w:t>
      </w:r>
      <w:r w:rsidR="0061311D" w:rsidRPr="00594B5F">
        <w:rPr>
          <w:rFonts w:cstheme="minorHAnsi"/>
          <w:lang w:val="en-US"/>
        </w:rPr>
        <w:t xml:space="preserve">pressures which may compromise </w:t>
      </w:r>
      <w:r w:rsidR="005B0408">
        <w:rPr>
          <w:rFonts w:cstheme="minorHAnsi"/>
          <w:lang w:val="en-US"/>
        </w:rPr>
        <w:t xml:space="preserve">their ability to remain within reduced </w:t>
      </w:r>
      <w:r w:rsidR="00594B5F" w:rsidRPr="00C24658">
        <w:rPr>
          <w:rFonts w:cstheme="minorHAnsi"/>
          <w:lang w:val="en-US"/>
        </w:rPr>
        <w:t xml:space="preserve">compensation </w:t>
      </w:r>
      <w:r w:rsidR="0061311D" w:rsidRPr="00594B5F">
        <w:rPr>
          <w:rFonts w:cstheme="minorHAnsi"/>
          <w:lang w:val="en-US"/>
        </w:rPr>
        <w:t>budget</w:t>
      </w:r>
      <w:r w:rsidR="005B0408">
        <w:rPr>
          <w:rFonts w:cstheme="minorHAnsi"/>
          <w:lang w:val="en-US"/>
        </w:rPr>
        <w:t>s</w:t>
      </w:r>
      <w:r w:rsidR="0061311D" w:rsidRPr="00594B5F">
        <w:rPr>
          <w:rFonts w:cstheme="minorHAnsi"/>
          <w:lang w:val="en-US"/>
        </w:rPr>
        <w:t xml:space="preserve"> should </w:t>
      </w:r>
      <w:r w:rsidR="00CC358B" w:rsidRPr="00594B5F">
        <w:rPr>
          <w:rFonts w:cstheme="minorHAnsi"/>
          <w:lang w:val="en-US"/>
        </w:rPr>
        <w:t xml:space="preserve">still have their </w:t>
      </w:r>
      <w:r w:rsidR="005B0408">
        <w:rPr>
          <w:rFonts w:cstheme="minorHAnsi"/>
          <w:lang w:val="en-US"/>
        </w:rPr>
        <w:t>personnel databases</w:t>
      </w:r>
      <w:r w:rsidR="00CC358B" w:rsidRPr="00594B5F">
        <w:rPr>
          <w:rFonts w:cstheme="minorHAnsi"/>
          <w:lang w:val="en-US"/>
        </w:rPr>
        <w:t xml:space="preserve"> balanced but provide an explanation of the extent of additional pressures and their implications in a narrative</w:t>
      </w:r>
      <w:r w:rsidR="00831F8A" w:rsidRPr="00594B5F">
        <w:rPr>
          <w:rFonts w:cstheme="minorHAnsi"/>
          <w:lang w:val="en-US"/>
        </w:rPr>
        <w:t xml:space="preserve">. </w:t>
      </w:r>
    </w:p>
    <w:p w14:paraId="29A8438D" w14:textId="77777777" w:rsidR="00783696" w:rsidRDefault="00CC358B" w:rsidP="00F42FF1">
      <w:pPr>
        <w:pStyle w:val="ListParagraph"/>
        <w:numPr>
          <w:ilvl w:val="1"/>
          <w:numId w:val="1"/>
        </w:numPr>
        <w:ind w:left="720" w:hanging="720"/>
        <w:jc w:val="both"/>
        <w:rPr>
          <w:rFonts w:cstheme="minorHAnsi"/>
          <w:lang w:val="en-US"/>
        </w:rPr>
      </w:pPr>
      <w:r w:rsidRPr="00594B5F">
        <w:rPr>
          <w:rFonts w:cstheme="minorHAnsi"/>
          <w:lang w:val="en-US"/>
        </w:rPr>
        <w:t xml:space="preserve">The narrative referred to above should indicate the number of posts that cannot be provided for within </w:t>
      </w:r>
      <w:r w:rsidR="005B0408">
        <w:rPr>
          <w:rFonts w:cstheme="minorHAnsi"/>
          <w:lang w:val="en-US"/>
        </w:rPr>
        <w:t xml:space="preserve">available </w:t>
      </w:r>
      <w:r w:rsidRPr="00594B5F">
        <w:rPr>
          <w:rFonts w:cstheme="minorHAnsi"/>
          <w:lang w:val="en-US"/>
        </w:rPr>
        <w:t xml:space="preserve">compensation </w:t>
      </w:r>
      <w:r w:rsidR="005B0408">
        <w:rPr>
          <w:rFonts w:cstheme="minorHAnsi"/>
          <w:lang w:val="en-US"/>
        </w:rPr>
        <w:t>budgets</w:t>
      </w:r>
      <w:r w:rsidRPr="00594B5F">
        <w:rPr>
          <w:rFonts w:cstheme="minorHAnsi"/>
          <w:lang w:val="en-US"/>
        </w:rPr>
        <w:t xml:space="preserve">, distinguishing between posts that are already filled and those </w:t>
      </w:r>
      <w:r w:rsidR="00BC4B5C">
        <w:rPr>
          <w:rFonts w:cstheme="minorHAnsi"/>
          <w:lang w:val="en-US"/>
        </w:rPr>
        <w:t xml:space="preserve">they </w:t>
      </w:r>
      <w:r w:rsidR="005B0408">
        <w:rPr>
          <w:rFonts w:cstheme="minorHAnsi"/>
          <w:lang w:val="en-US"/>
        </w:rPr>
        <w:t>plan</w:t>
      </w:r>
      <w:r w:rsidRPr="00594B5F">
        <w:rPr>
          <w:rFonts w:cstheme="minorHAnsi"/>
          <w:lang w:val="en-US"/>
        </w:rPr>
        <w:t xml:space="preserve"> to fill. The details sho</w:t>
      </w:r>
      <w:r w:rsidR="00956765">
        <w:rPr>
          <w:rFonts w:cstheme="minorHAnsi"/>
          <w:lang w:val="en-US"/>
        </w:rPr>
        <w:t>uld be provided per salary grade</w:t>
      </w:r>
      <w:r w:rsidRPr="00594B5F">
        <w:rPr>
          <w:rFonts w:cstheme="minorHAnsi"/>
          <w:lang w:val="en-US"/>
        </w:rPr>
        <w:t>, including implications of not filling such posts for service delivery.</w:t>
      </w:r>
    </w:p>
    <w:p w14:paraId="37343956" w14:textId="77777777" w:rsidR="00713A16" w:rsidRPr="00594A52" w:rsidRDefault="00713A16" w:rsidP="00FA7104">
      <w:pPr>
        <w:pStyle w:val="Heading1"/>
        <w:ind w:left="720" w:hanging="720"/>
      </w:pPr>
      <w:r w:rsidRPr="00594A52">
        <w:t>T</w:t>
      </w:r>
      <w:r w:rsidR="00E53949">
        <w:t>echnical I</w:t>
      </w:r>
      <w:r w:rsidRPr="00594A52">
        <w:t>ssues</w:t>
      </w:r>
    </w:p>
    <w:p w14:paraId="69886C29" w14:textId="77777777" w:rsidR="00F26267" w:rsidRPr="00C24658" w:rsidRDefault="00713A16" w:rsidP="006461DA">
      <w:pPr>
        <w:pStyle w:val="ListParagraph"/>
        <w:numPr>
          <w:ilvl w:val="1"/>
          <w:numId w:val="1"/>
        </w:numPr>
        <w:shd w:val="clear" w:color="auto" w:fill="FFFFFF" w:themeFill="background1"/>
        <w:ind w:left="709" w:hanging="709"/>
        <w:jc w:val="both"/>
        <w:rPr>
          <w:lang w:val="en-US"/>
        </w:rPr>
      </w:pPr>
      <w:r w:rsidRPr="00C24658">
        <w:rPr>
          <w:lang w:val="en-US"/>
        </w:rPr>
        <w:t>New</w:t>
      </w:r>
      <w:r w:rsidR="00D61833">
        <w:rPr>
          <w:lang w:val="en-US"/>
        </w:rPr>
        <w:t xml:space="preserve"> compensation budget</w:t>
      </w:r>
      <w:r w:rsidRPr="00C24658">
        <w:rPr>
          <w:lang w:val="en-US"/>
        </w:rPr>
        <w:t xml:space="preserve"> estimates must be generated for the </w:t>
      </w:r>
      <w:r w:rsidR="00D20D41" w:rsidRPr="00C24658">
        <w:rPr>
          <w:lang w:val="en-US"/>
        </w:rPr>
        <w:t>202</w:t>
      </w:r>
      <w:r w:rsidR="00B27E45" w:rsidRPr="00C24658">
        <w:rPr>
          <w:lang w:val="en-US"/>
        </w:rPr>
        <w:t>3</w:t>
      </w:r>
      <w:r w:rsidR="00D20D41" w:rsidRPr="00C24658">
        <w:rPr>
          <w:lang w:val="en-US"/>
        </w:rPr>
        <w:t>/2</w:t>
      </w:r>
      <w:r w:rsidR="00B27E45" w:rsidRPr="00C24658">
        <w:rPr>
          <w:lang w:val="en-US"/>
        </w:rPr>
        <w:t>4</w:t>
      </w:r>
      <w:r w:rsidRPr="00C24658">
        <w:rPr>
          <w:lang w:val="en-US"/>
        </w:rPr>
        <w:t xml:space="preserve"> financial year</w:t>
      </w:r>
      <w:r w:rsidR="00956765">
        <w:rPr>
          <w:lang w:val="en-US"/>
        </w:rPr>
        <w:t xml:space="preserve"> as described in Table 2 above</w:t>
      </w:r>
      <w:r w:rsidR="00D61833">
        <w:rPr>
          <w:lang w:val="en-US"/>
        </w:rPr>
        <w:t xml:space="preserve">. </w:t>
      </w:r>
      <w:r w:rsidR="00594B5F" w:rsidRPr="00C24658">
        <w:rPr>
          <w:lang w:val="en-US"/>
        </w:rPr>
        <w:t>This compensation budget limit should be observed and cannot be breached. Breaching the compensation budget limit amounts to financial misconduct and will attract relevant sanctions.</w:t>
      </w:r>
    </w:p>
    <w:p w14:paraId="31AA4B85" w14:textId="77777777" w:rsidR="006A44F5" w:rsidRPr="009B7CB8" w:rsidRDefault="005B0408" w:rsidP="006461DA">
      <w:pPr>
        <w:pStyle w:val="ListParagraph"/>
        <w:numPr>
          <w:ilvl w:val="1"/>
          <w:numId w:val="1"/>
        </w:numPr>
        <w:shd w:val="clear" w:color="auto" w:fill="FFFFFF" w:themeFill="background1"/>
        <w:ind w:left="709" w:hanging="709"/>
        <w:jc w:val="both"/>
        <w:rPr>
          <w:lang w:val="en-US"/>
        </w:rPr>
      </w:pPr>
      <w:r>
        <w:rPr>
          <w:lang w:val="en-US"/>
        </w:rPr>
        <w:t>Public entities</w:t>
      </w:r>
      <w:r w:rsidRPr="009B7CB8">
        <w:rPr>
          <w:lang w:val="en-US"/>
        </w:rPr>
        <w:t xml:space="preserve"> </w:t>
      </w:r>
      <w:r w:rsidR="00B858DB" w:rsidRPr="009B7CB8">
        <w:rPr>
          <w:lang w:val="en-US"/>
        </w:rPr>
        <w:t xml:space="preserve">must ensure alignment between compensation of employees budgets and personnel headcount. </w:t>
      </w:r>
      <w:r w:rsidR="00DA2DA1" w:rsidRPr="009B7CB8">
        <w:rPr>
          <w:lang w:val="en-US"/>
        </w:rPr>
        <w:t>Unrealistic submissions</w:t>
      </w:r>
      <w:r w:rsidR="008005A6">
        <w:rPr>
          <w:lang w:val="en-US"/>
        </w:rPr>
        <w:t xml:space="preserve"> with evidence of poor attempt at managing costs downwards</w:t>
      </w:r>
      <w:r w:rsidR="00DA2DA1" w:rsidRPr="009B7CB8">
        <w:rPr>
          <w:lang w:val="en-US"/>
        </w:rPr>
        <w:t xml:space="preserve"> </w:t>
      </w:r>
      <w:r w:rsidR="00956765">
        <w:rPr>
          <w:lang w:val="en-US"/>
        </w:rPr>
        <w:t>amount to non-compliance</w:t>
      </w:r>
      <w:r w:rsidR="00DA2DA1" w:rsidRPr="009B7CB8">
        <w:rPr>
          <w:lang w:val="en-US"/>
        </w:rPr>
        <w:t xml:space="preserve">. </w:t>
      </w:r>
      <w:bookmarkStart w:id="289" w:name="_GoBack"/>
      <w:bookmarkEnd w:id="289"/>
    </w:p>
    <w:p w14:paraId="6D1FF2FF" w14:textId="5ED2C2B1" w:rsidR="008506CF" w:rsidRPr="00E8077A" w:rsidRDefault="00846FAC" w:rsidP="006461DA">
      <w:pPr>
        <w:pStyle w:val="ListParagraph"/>
        <w:numPr>
          <w:ilvl w:val="1"/>
          <w:numId w:val="1"/>
        </w:numPr>
        <w:shd w:val="clear" w:color="auto" w:fill="FFFFFF" w:themeFill="background1"/>
        <w:ind w:left="709" w:hanging="709"/>
        <w:jc w:val="both"/>
        <w:rPr>
          <w:lang w:val="en-US"/>
        </w:rPr>
      </w:pPr>
      <w:r w:rsidRPr="00E8077A">
        <w:rPr>
          <w:lang w:val="en-US"/>
        </w:rPr>
        <w:t xml:space="preserve">The </w:t>
      </w:r>
      <w:r w:rsidR="00D31E29" w:rsidRPr="00E8077A">
        <w:rPr>
          <w:lang w:val="en-US"/>
        </w:rPr>
        <w:t>20</w:t>
      </w:r>
      <w:r w:rsidR="00B27E45" w:rsidRPr="00E8077A">
        <w:rPr>
          <w:lang w:val="en-US"/>
        </w:rPr>
        <w:t>21</w:t>
      </w:r>
      <w:r w:rsidR="00D31E29" w:rsidRPr="00E8077A">
        <w:rPr>
          <w:lang w:val="en-US"/>
        </w:rPr>
        <w:t xml:space="preserve"> </w:t>
      </w:r>
      <w:r w:rsidR="009970D7" w:rsidRPr="00E8077A">
        <w:rPr>
          <w:lang w:val="en-US"/>
        </w:rPr>
        <w:t xml:space="preserve">MTEF </w:t>
      </w:r>
      <w:r w:rsidR="008506CF" w:rsidRPr="00E8077A">
        <w:rPr>
          <w:lang w:val="en-US"/>
        </w:rPr>
        <w:t>indicative</w:t>
      </w:r>
      <w:r w:rsidRPr="00E8077A">
        <w:rPr>
          <w:lang w:val="en-US"/>
        </w:rPr>
        <w:t xml:space="preserve"> baseline does not provide for general funding of new posts, except in cases where</w:t>
      </w:r>
      <w:r w:rsidR="00AE053F">
        <w:rPr>
          <w:lang w:val="en-US"/>
        </w:rPr>
        <w:t xml:space="preserve"> individual public entities</w:t>
      </w:r>
      <w:r w:rsidR="00FD51F1" w:rsidRPr="00E8077A">
        <w:rPr>
          <w:lang w:val="en-US"/>
        </w:rPr>
        <w:t xml:space="preserve"> </w:t>
      </w:r>
      <w:r w:rsidRPr="00E8077A">
        <w:rPr>
          <w:lang w:val="en-US"/>
        </w:rPr>
        <w:t xml:space="preserve">were specifically allocated funding to create new critical posts in the </w:t>
      </w:r>
      <w:r w:rsidR="00A8395B" w:rsidRPr="00E8077A">
        <w:rPr>
          <w:lang w:val="en-US"/>
        </w:rPr>
        <w:t>20</w:t>
      </w:r>
      <w:r w:rsidR="00B27E45" w:rsidRPr="00E8077A">
        <w:rPr>
          <w:lang w:val="en-US"/>
        </w:rPr>
        <w:t>20</w:t>
      </w:r>
      <w:r w:rsidR="00A8395B" w:rsidRPr="00E8077A">
        <w:rPr>
          <w:lang w:val="en-US"/>
        </w:rPr>
        <w:t xml:space="preserve"> </w:t>
      </w:r>
      <w:r w:rsidR="00124BB3" w:rsidRPr="00E8077A">
        <w:rPr>
          <w:lang w:val="en-US"/>
        </w:rPr>
        <w:t xml:space="preserve">MTEF </w:t>
      </w:r>
      <w:r w:rsidR="004F4D80" w:rsidRPr="00E8077A">
        <w:rPr>
          <w:lang w:val="en-US"/>
        </w:rPr>
        <w:t xml:space="preserve">or </w:t>
      </w:r>
      <w:r w:rsidR="00512C46" w:rsidRPr="00E8077A">
        <w:rPr>
          <w:lang w:val="en-US"/>
        </w:rPr>
        <w:t xml:space="preserve">where </w:t>
      </w:r>
      <w:r w:rsidR="0005464A">
        <w:rPr>
          <w:lang w:val="en-US"/>
        </w:rPr>
        <w:t>public entities</w:t>
      </w:r>
      <w:r w:rsidR="0005464A" w:rsidRPr="00E8077A">
        <w:rPr>
          <w:lang w:val="en-US"/>
        </w:rPr>
        <w:t xml:space="preserve"> </w:t>
      </w:r>
      <w:r w:rsidR="004F4D80" w:rsidRPr="00E8077A">
        <w:rPr>
          <w:lang w:val="en-US"/>
        </w:rPr>
        <w:t xml:space="preserve">have </w:t>
      </w:r>
      <w:r w:rsidR="00124BB3" w:rsidRPr="00E8077A">
        <w:rPr>
          <w:lang w:val="en-US"/>
        </w:rPr>
        <w:t>effected</w:t>
      </w:r>
      <w:r w:rsidR="004F4D80" w:rsidRPr="00E8077A">
        <w:rPr>
          <w:lang w:val="en-US"/>
        </w:rPr>
        <w:t xml:space="preserve"> savings</w:t>
      </w:r>
      <w:r w:rsidR="00124BB3" w:rsidRPr="00E8077A">
        <w:rPr>
          <w:lang w:val="en-US"/>
        </w:rPr>
        <w:t xml:space="preserve"> within their compensation budgets</w:t>
      </w:r>
      <w:r w:rsidRPr="00E8077A">
        <w:rPr>
          <w:lang w:val="en-US"/>
        </w:rPr>
        <w:t xml:space="preserve">. </w:t>
      </w:r>
    </w:p>
    <w:p w14:paraId="7DBA1DFD" w14:textId="331B01D3" w:rsidR="007619C3" w:rsidRPr="00E8077A" w:rsidRDefault="007619C3" w:rsidP="006461DA">
      <w:pPr>
        <w:pStyle w:val="ListParagraph"/>
        <w:numPr>
          <w:ilvl w:val="1"/>
          <w:numId w:val="1"/>
        </w:numPr>
        <w:shd w:val="clear" w:color="auto" w:fill="FFFFFF" w:themeFill="background1"/>
        <w:ind w:left="709" w:hanging="709"/>
        <w:jc w:val="both"/>
        <w:rPr>
          <w:lang w:val="en-US"/>
        </w:rPr>
      </w:pPr>
      <w:r w:rsidRPr="00E8077A">
        <w:rPr>
          <w:lang w:val="en-US"/>
        </w:rPr>
        <w:t xml:space="preserve">Effective management of work that is outsourced to consultants is also important. Consultants should not be </w:t>
      </w:r>
      <w:r w:rsidR="00831241" w:rsidRPr="00E8077A">
        <w:rPr>
          <w:lang w:val="en-US"/>
        </w:rPr>
        <w:t xml:space="preserve">hired </w:t>
      </w:r>
      <w:r w:rsidRPr="00E8077A">
        <w:rPr>
          <w:lang w:val="en-US"/>
        </w:rPr>
        <w:t xml:space="preserve">to do </w:t>
      </w:r>
      <w:r w:rsidR="00831241" w:rsidRPr="00E8077A">
        <w:rPr>
          <w:lang w:val="en-US"/>
        </w:rPr>
        <w:t xml:space="preserve">the </w:t>
      </w:r>
      <w:r w:rsidRPr="00E8077A">
        <w:rPr>
          <w:lang w:val="en-US"/>
        </w:rPr>
        <w:t xml:space="preserve">work that should be done by staff employed within </w:t>
      </w:r>
      <w:r w:rsidR="00AE053F">
        <w:rPr>
          <w:lang w:val="en-US"/>
        </w:rPr>
        <w:t>public entities</w:t>
      </w:r>
      <w:r w:rsidRPr="00E8077A">
        <w:rPr>
          <w:lang w:val="en-US"/>
        </w:rPr>
        <w:t xml:space="preserve">. That is, all personnel in </w:t>
      </w:r>
      <w:r w:rsidR="00AE053F">
        <w:rPr>
          <w:lang w:val="en-US"/>
        </w:rPr>
        <w:t>public entities</w:t>
      </w:r>
      <w:r w:rsidR="00AE053F" w:rsidRPr="00E8077A">
        <w:rPr>
          <w:lang w:val="en-US"/>
        </w:rPr>
        <w:t xml:space="preserve"> </w:t>
      </w:r>
      <w:r w:rsidRPr="00E8077A">
        <w:rPr>
          <w:lang w:val="en-US"/>
        </w:rPr>
        <w:t>should be fully utilised to avoid unnecessary use of consultants.</w:t>
      </w:r>
      <w:r w:rsidR="00C75E28" w:rsidRPr="00E8077A">
        <w:rPr>
          <w:lang w:val="en-US"/>
        </w:rPr>
        <w:t xml:space="preserve"> </w:t>
      </w:r>
      <w:r w:rsidR="00AE053F">
        <w:rPr>
          <w:lang w:val="en-US"/>
        </w:rPr>
        <w:t>Public entities</w:t>
      </w:r>
      <w:r w:rsidR="00AE053F" w:rsidRPr="00E8077A">
        <w:rPr>
          <w:lang w:val="en-US"/>
        </w:rPr>
        <w:t xml:space="preserve"> </w:t>
      </w:r>
      <w:r w:rsidRPr="00E8077A">
        <w:rPr>
          <w:lang w:val="en-US"/>
        </w:rPr>
        <w:t xml:space="preserve">should ensure that the following </w:t>
      </w:r>
      <w:r w:rsidR="008E6795" w:rsidRPr="00E8077A">
        <w:rPr>
          <w:lang w:val="en-US"/>
        </w:rPr>
        <w:t xml:space="preserve">measures </w:t>
      </w:r>
      <w:r w:rsidRPr="00E8077A">
        <w:rPr>
          <w:lang w:val="en-US"/>
        </w:rPr>
        <w:t>are taken into account when budgeting for compensation of employees:</w:t>
      </w:r>
    </w:p>
    <w:p w14:paraId="681D6EC4" w14:textId="77777777" w:rsidR="006A44F5" w:rsidRPr="00E8077A" w:rsidRDefault="007B2AD4" w:rsidP="007A6FC3">
      <w:pPr>
        <w:tabs>
          <w:tab w:val="left" w:pos="1560"/>
          <w:tab w:val="left" w:pos="1710"/>
          <w:tab w:val="left" w:pos="1985"/>
        </w:tabs>
        <w:ind w:left="1440" w:hanging="810"/>
        <w:jc w:val="both"/>
        <w:rPr>
          <w:rFonts w:cstheme="minorHAnsi"/>
        </w:rPr>
      </w:pPr>
      <w:r w:rsidRPr="00E8077A">
        <w:rPr>
          <w:rFonts w:cstheme="minorHAnsi"/>
        </w:rPr>
        <w:t>5.4.1</w:t>
      </w:r>
      <w:r w:rsidR="007A6FC3" w:rsidRPr="00E8077A">
        <w:rPr>
          <w:rFonts w:cstheme="minorHAnsi"/>
        </w:rPr>
        <w:tab/>
      </w:r>
      <w:r w:rsidRPr="00E8077A">
        <w:rPr>
          <w:rFonts w:cstheme="minorHAnsi"/>
        </w:rPr>
        <w:t xml:space="preserve">Any relevant </w:t>
      </w:r>
      <w:r w:rsidR="007619C3" w:rsidRPr="00E8077A">
        <w:rPr>
          <w:lang w:val="en-US"/>
        </w:rPr>
        <w:t>Ministerial determinations</w:t>
      </w:r>
      <w:r w:rsidR="00CF395E" w:rsidRPr="00E8077A">
        <w:rPr>
          <w:lang w:val="en-US"/>
        </w:rPr>
        <w:t xml:space="preserve"> </w:t>
      </w:r>
      <w:r w:rsidR="006D34BC" w:rsidRPr="00E8077A">
        <w:rPr>
          <w:lang w:val="en-US"/>
        </w:rPr>
        <w:t xml:space="preserve">and directives </w:t>
      </w:r>
    </w:p>
    <w:p w14:paraId="4C2F38C8" w14:textId="72547D98" w:rsidR="007619C3" w:rsidRPr="00E8077A" w:rsidRDefault="007B2AD4" w:rsidP="00C73194">
      <w:pPr>
        <w:ind w:left="1440" w:hanging="810"/>
        <w:jc w:val="both"/>
        <w:rPr>
          <w:rFonts w:cstheme="minorHAnsi"/>
        </w:rPr>
      </w:pPr>
      <w:r w:rsidRPr="00E8077A">
        <w:rPr>
          <w:rFonts w:cstheme="minorHAnsi"/>
        </w:rPr>
        <w:t>5.4</w:t>
      </w:r>
      <w:r w:rsidR="007A4DF9" w:rsidRPr="00E8077A">
        <w:rPr>
          <w:rFonts w:cstheme="minorHAnsi"/>
        </w:rPr>
        <w:t>.2</w:t>
      </w:r>
      <w:r w:rsidR="007A6FC3" w:rsidRPr="00E8077A">
        <w:rPr>
          <w:rFonts w:cstheme="minorHAnsi"/>
        </w:rPr>
        <w:tab/>
      </w:r>
      <w:r w:rsidR="00B7447F">
        <w:rPr>
          <w:rFonts w:cstheme="minorHAnsi"/>
        </w:rPr>
        <w:t>Sectoral bargaining councils</w:t>
      </w:r>
      <w:r w:rsidR="001D11C0" w:rsidRPr="00E8077A">
        <w:rPr>
          <w:rFonts w:cstheme="minorHAnsi"/>
        </w:rPr>
        <w:t xml:space="preserve"> </w:t>
      </w:r>
      <w:r w:rsidR="007619C3" w:rsidRPr="00E8077A">
        <w:rPr>
          <w:rFonts w:cstheme="minorHAnsi"/>
        </w:rPr>
        <w:t>agreements</w:t>
      </w:r>
      <w:r w:rsidR="0079622F" w:rsidRPr="00E8077A">
        <w:rPr>
          <w:rFonts w:cstheme="minorHAnsi"/>
        </w:rPr>
        <w:t xml:space="preserve"> </w:t>
      </w:r>
      <w:r w:rsidRPr="00E8077A">
        <w:rPr>
          <w:rFonts w:cstheme="minorHAnsi"/>
        </w:rPr>
        <w:t xml:space="preserve">– where relevant </w:t>
      </w:r>
    </w:p>
    <w:p w14:paraId="4AA239DB" w14:textId="77777777" w:rsidR="007619C3" w:rsidRPr="00E8077A" w:rsidRDefault="007B2AD4" w:rsidP="00FE673B">
      <w:pPr>
        <w:ind w:left="1440" w:hanging="873"/>
        <w:jc w:val="both"/>
        <w:rPr>
          <w:rFonts w:cstheme="minorHAnsi"/>
        </w:rPr>
      </w:pPr>
      <w:r w:rsidRPr="00E8077A">
        <w:rPr>
          <w:rFonts w:cstheme="minorHAnsi"/>
        </w:rPr>
        <w:t>5.4</w:t>
      </w:r>
      <w:r w:rsidR="007A4DF9" w:rsidRPr="00E8077A">
        <w:rPr>
          <w:rFonts w:cstheme="minorHAnsi"/>
        </w:rPr>
        <w:t>.3</w:t>
      </w:r>
      <w:r w:rsidR="007A6FC3" w:rsidRPr="00E8077A">
        <w:rPr>
          <w:rFonts w:cstheme="minorHAnsi"/>
        </w:rPr>
        <w:tab/>
      </w:r>
      <w:r w:rsidR="007619C3" w:rsidRPr="00E8077A">
        <w:rPr>
          <w:rFonts w:cstheme="minorHAnsi"/>
        </w:rPr>
        <w:t>Cabinet decisions relating to remuneration and personnel management matters</w:t>
      </w:r>
      <w:r w:rsidR="006D34BC" w:rsidRPr="00E8077A">
        <w:rPr>
          <w:rFonts w:cstheme="minorHAnsi"/>
        </w:rPr>
        <w:t xml:space="preserve"> </w:t>
      </w:r>
      <w:r w:rsidR="007139A4" w:rsidRPr="00E8077A">
        <w:rPr>
          <w:rFonts w:cstheme="minorHAnsi"/>
        </w:rPr>
        <w:t>and</w:t>
      </w:r>
      <w:r w:rsidR="006D34BC" w:rsidRPr="00E8077A">
        <w:rPr>
          <w:rFonts w:cstheme="minorHAnsi"/>
        </w:rPr>
        <w:t xml:space="preserve"> </w:t>
      </w:r>
      <w:r w:rsidR="00CF395E" w:rsidRPr="00E8077A">
        <w:rPr>
          <w:rFonts w:cstheme="minorHAnsi"/>
        </w:rPr>
        <w:t>expansion of mandates</w:t>
      </w:r>
    </w:p>
    <w:p w14:paraId="4C92614C" w14:textId="77777777" w:rsidR="007B2AD4" w:rsidRPr="00E8077A" w:rsidRDefault="007B2AD4" w:rsidP="00FE673B">
      <w:pPr>
        <w:ind w:left="1440" w:hanging="873"/>
        <w:jc w:val="both"/>
        <w:rPr>
          <w:rFonts w:cstheme="minorHAnsi"/>
        </w:rPr>
      </w:pPr>
      <w:r w:rsidRPr="00E8077A">
        <w:rPr>
          <w:rFonts w:cstheme="minorHAnsi"/>
        </w:rPr>
        <w:t>5.4.4</w:t>
      </w:r>
      <w:r w:rsidRPr="00E8077A">
        <w:rPr>
          <w:rFonts w:cstheme="minorHAnsi"/>
        </w:rPr>
        <w:tab/>
        <w:t>Any relevant Treasury circulars</w:t>
      </w:r>
    </w:p>
    <w:p w14:paraId="1546B689" w14:textId="77777777" w:rsidR="00096073" w:rsidRDefault="00096073" w:rsidP="002F7005">
      <w:pPr>
        <w:spacing w:after="120" w:line="240" w:lineRule="auto"/>
        <w:jc w:val="both"/>
        <w:rPr>
          <w:rFonts w:cstheme="minorHAnsi"/>
        </w:rPr>
      </w:pPr>
    </w:p>
    <w:p w14:paraId="05314170" w14:textId="77777777" w:rsidR="00033E43" w:rsidRDefault="00033E43" w:rsidP="00F0084F">
      <w:pPr>
        <w:ind w:left="720" w:hanging="720"/>
        <w:jc w:val="both"/>
        <w:rPr>
          <w:rFonts w:cstheme="minorHAnsi"/>
        </w:rPr>
      </w:pPr>
    </w:p>
    <w:p w14:paraId="4DA81E8F" w14:textId="77777777" w:rsidR="0080170A" w:rsidRDefault="009A7B09" w:rsidP="001763FE">
      <w:pPr>
        <w:ind w:left="720" w:hanging="720"/>
        <w:jc w:val="both"/>
      </w:pPr>
      <w:r>
        <w:rPr>
          <w:rFonts w:cstheme="minorHAnsi"/>
        </w:rPr>
        <w:t>----------------------------------------------------------------END----------------------------------------------------------------</w:t>
      </w:r>
      <w:bookmarkStart w:id="290" w:name="_Toc390377961"/>
      <w:bookmarkStart w:id="291" w:name="_Toc390377962"/>
      <w:bookmarkStart w:id="292" w:name="_Toc390377963"/>
      <w:bookmarkStart w:id="293" w:name="_Toc390377964"/>
      <w:bookmarkStart w:id="294" w:name="_Toc390377965"/>
      <w:bookmarkStart w:id="295" w:name="_Toc390377966"/>
      <w:bookmarkStart w:id="296" w:name="_Toc390377967"/>
      <w:bookmarkStart w:id="297" w:name="_Toc390377968"/>
      <w:bookmarkStart w:id="298" w:name="_Toc390377969"/>
      <w:bookmarkStart w:id="299" w:name="_Toc390377970"/>
      <w:bookmarkStart w:id="300" w:name="_Toc390377971"/>
      <w:bookmarkStart w:id="301" w:name="_Toc390262308"/>
      <w:bookmarkStart w:id="302" w:name="_Toc390377972"/>
      <w:bookmarkStart w:id="303" w:name="_Toc390377973"/>
      <w:bookmarkStart w:id="304" w:name="_Toc390377974"/>
      <w:bookmarkStart w:id="305" w:name="_Toc390377975"/>
      <w:bookmarkStart w:id="306" w:name="_Toc390759413"/>
      <w:bookmarkStart w:id="307" w:name="_Toc390760174"/>
      <w:bookmarkStart w:id="308" w:name="_Toc390760242"/>
      <w:bookmarkStart w:id="309" w:name="_Toc390760400"/>
      <w:bookmarkStart w:id="310" w:name="_Toc390760972"/>
      <w:bookmarkStart w:id="311" w:name="_Toc390759414"/>
      <w:bookmarkStart w:id="312" w:name="_Toc390760175"/>
      <w:bookmarkStart w:id="313" w:name="_Toc390760243"/>
      <w:bookmarkStart w:id="314" w:name="_Toc390760401"/>
      <w:bookmarkStart w:id="315" w:name="_Toc390760973"/>
      <w:bookmarkStart w:id="316" w:name="_Toc390759415"/>
      <w:bookmarkStart w:id="317" w:name="_Toc390760176"/>
      <w:bookmarkStart w:id="318" w:name="_Toc390760244"/>
      <w:bookmarkStart w:id="319" w:name="_Toc390760402"/>
      <w:bookmarkStart w:id="320" w:name="_Toc390760974"/>
      <w:bookmarkStart w:id="321" w:name="_Toc390759416"/>
      <w:bookmarkStart w:id="322" w:name="_Toc390760177"/>
      <w:bookmarkStart w:id="323" w:name="_Toc390760245"/>
      <w:bookmarkStart w:id="324" w:name="_Toc390760403"/>
      <w:bookmarkStart w:id="325" w:name="_Toc390760975"/>
      <w:bookmarkStart w:id="326" w:name="_Toc390759417"/>
      <w:bookmarkStart w:id="327" w:name="_Toc390760178"/>
      <w:bookmarkStart w:id="328" w:name="_Toc390760246"/>
      <w:bookmarkStart w:id="329" w:name="_Toc390760404"/>
      <w:bookmarkStart w:id="330" w:name="_Toc390760976"/>
      <w:bookmarkStart w:id="331" w:name="_Toc390759425"/>
      <w:bookmarkStart w:id="332" w:name="_Toc390760186"/>
      <w:bookmarkStart w:id="333" w:name="_Toc390760254"/>
      <w:bookmarkStart w:id="334" w:name="_Toc390760412"/>
      <w:bookmarkStart w:id="335" w:name="_Toc390760984"/>
      <w:bookmarkStart w:id="336" w:name="_Toc390759426"/>
      <w:bookmarkStart w:id="337" w:name="_Toc390760187"/>
      <w:bookmarkStart w:id="338" w:name="_Toc390760255"/>
      <w:bookmarkStart w:id="339" w:name="_Toc390760413"/>
      <w:bookmarkStart w:id="340" w:name="_Toc390760985"/>
      <w:bookmarkStart w:id="341" w:name="_Toc390759427"/>
      <w:bookmarkStart w:id="342" w:name="_Toc390760188"/>
      <w:bookmarkStart w:id="343" w:name="_Toc390760256"/>
      <w:bookmarkStart w:id="344" w:name="_Toc390760414"/>
      <w:bookmarkStart w:id="345" w:name="_Toc390760986"/>
      <w:bookmarkStart w:id="346" w:name="_Toc355272710"/>
      <w:bookmarkStart w:id="347" w:name="_Toc355272709"/>
      <w:bookmarkStart w:id="348" w:name="_Toc355272708"/>
      <w:bookmarkStart w:id="349" w:name="_Toc355270424"/>
      <w:bookmarkStart w:id="350" w:name="_Toc355270601"/>
      <w:bookmarkStart w:id="351" w:name="_Toc355272285"/>
      <w:bookmarkStart w:id="352" w:name="_Toc355272731"/>
      <w:bookmarkStart w:id="353" w:name="_Toc355270426"/>
      <w:bookmarkStart w:id="354" w:name="_Toc355270603"/>
      <w:bookmarkStart w:id="355" w:name="_Toc355272287"/>
      <w:bookmarkStart w:id="356" w:name="_Toc355272733"/>
      <w:bookmarkStart w:id="357" w:name="_Toc355270427"/>
      <w:bookmarkStart w:id="358" w:name="_Toc355270604"/>
      <w:bookmarkStart w:id="359" w:name="_Toc355272288"/>
      <w:bookmarkStart w:id="360" w:name="_Toc355272734"/>
      <w:bookmarkStart w:id="361" w:name="_Toc355270431"/>
      <w:bookmarkStart w:id="362" w:name="_Toc355270608"/>
      <w:bookmarkStart w:id="363" w:name="_Toc355272292"/>
      <w:bookmarkStart w:id="364" w:name="_Toc355272738"/>
      <w:bookmarkStart w:id="365" w:name="_Toc355270432"/>
      <w:bookmarkStart w:id="366" w:name="_Toc355270609"/>
      <w:bookmarkStart w:id="367" w:name="_Toc355272293"/>
      <w:bookmarkStart w:id="368" w:name="_Toc355272739"/>
      <w:bookmarkStart w:id="369" w:name="_Toc355270433"/>
      <w:bookmarkStart w:id="370" w:name="_Toc355270610"/>
      <w:bookmarkStart w:id="371" w:name="_Toc355272294"/>
      <w:bookmarkStart w:id="372" w:name="_Toc355272740"/>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sectPr w:rsidR="0080170A" w:rsidSect="006C2979">
      <w:headerReference w:type="default" r:id="rId9"/>
      <w:footerReference w:type="default" r:id="rId10"/>
      <w:footerReference w:type="first" r:id="rId11"/>
      <w:pgSz w:w="11906" w:h="16838"/>
      <w:pgMar w:top="72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C2517" w14:textId="77777777" w:rsidR="001A3ACC" w:rsidRDefault="001A3ACC" w:rsidP="00C8420F">
      <w:pPr>
        <w:spacing w:after="0" w:line="240" w:lineRule="auto"/>
      </w:pPr>
      <w:r>
        <w:separator/>
      </w:r>
    </w:p>
  </w:endnote>
  <w:endnote w:type="continuationSeparator" w:id="0">
    <w:p w14:paraId="16054EF0" w14:textId="77777777" w:rsidR="001A3ACC" w:rsidRDefault="001A3ACC" w:rsidP="00C8420F">
      <w:pPr>
        <w:spacing w:after="0" w:line="240" w:lineRule="auto"/>
      </w:pPr>
      <w:r>
        <w:continuationSeparator/>
      </w:r>
    </w:p>
  </w:endnote>
  <w:endnote w:type="continuationNotice" w:id="1">
    <w:p w14:paraId="1CDE7F47" w14:textId="77777777" w:rsidR="001A3ACC" w:rsidRDefault="001A3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879285"/>
      <w:docPartObj>
        <w:docPartGallery w:val="Page Numbers (Bottom of Page)"/>
        <w:docPartUnique/>
      </w:docPartObj>
    </w:sdtPr>
    <w:sdtEndPr>
      <w:rPr>
        <w:color w:val="808080" w:themeColor="background1" w:themeShade="80"/>
        <w:spacing w:val="60"/>
      </w:rPr>
    </w:sdtEndPr>
    <w:sdtContent>
      <w:p w14:paraId="16711C99" w14:textId="3A244522" w:rsidR="006827C6" w:rsidRPr="00132012" w:rsidRDefault="006827C6" w:rsidP="005500BF">
        <w:pPr>
          <w:pStyle w:val="Footer"/>
          <w:pBdr>
            <w:top w:val="single" w:sz="4" w:space="1" w:color="D9D9D9" w:themeColor="background1" w:themeShade="D9"/>
          </w:pBdr>
          <w:rPr>
            <w:color w:val="808080" w:themeColor="background1" w:themeShade="80"/>
          </w:rPr>
        </w:pPr>
        <w:r>
          <w:fldChar w:fldCharType="begin"/>
        </w:r>
        <w:r>
          <w:instrText xml:space="preserve"> PAGE   \* MERGEFORMAT </w:instrText>
        </w:r>
        <w:r>
          <w:fldChar w:fldCharType="separate"/>
        </w:r>
        <w:r w:rsidR="00090476" w:rsidRPr="00090476">
          <w:rPr>
            <w:b/>
            <w:bCs/>
            <w:noProof/>
          </w:rPr>
          <w:t>3</w:t>
        </w:r>
        <w:r>
          <w:rPr>
            <w:b/>
            <w:bCs/>
            <w:noProof/>
          </w:rPr>
          <w:fldChar w:fldCharType="end"/>
        </w:r>
        <w:r>
          <w:rPr>
            <w:b/>
            <w:bCs/>
          </w:rPr>
          <w:t xml:space="preserve"> | </w:t>
        </w:r>
        <w:r w:rsidR="00C000DC">
          <w:rPr>
            <w:b/>
            <w:bCs/>
          </w:rPr>
          <w:t xml:space="preserve">Public Entity </w:t>
        </w:r>
        <w:r w:rsidRPr="009A5249">
          <w:rPr>
            <w:color w:val="808080" w:themeColor="background1" w:themeShade="80"/>
          </w:rPr>
          <w:t>COE</w:t>
        </w:r>
        <w:r w:rsidRPr="009A5249">
          <w:rPr>
            <w:bCs/>
          </w:rPr>
          <w:t xml:space="preserve"> </w:t>
        </w:r>
        <w:r w:rsidRPr="006C2979">
          <w:rPr>
            <w:color w:val="808080" w:themeColor="background1" w:themeShade="80"/>
          </w:rPr>
          <w:t>T</w:t>
        </w:r>
        <w:r>
          <w:rPr>
            <w:color w:val="808080" w:themeColor="background1" w:themeShade="80"/>
          </w:rPr>
          <w:t>echnical guidelines: 2021</w:t>
        </w:r>
        <w:r w:rsidR="00E62B77">
          <w:rPr>
            <w:color w:val="808080" w:themeColor="background1" w:themeShade="80"/>
          </w:rPr>
          <w:t xml:space="preserve"> MTEF</w:t>
        </w:r>
        <w:r>
          <w:rPr>
            <w:color w:val="808080" w:themeColor="background1" w:themeShade="80"/>
          </w:rPr>
          <w:t xml:space="preserve"> </w:t>
        </w:r>
        <w:r>
          <w:rPr>
            <w:color w:val="808080" w:themeColor="background1" w:themeShade="80"/>
          </w:rPr>
          <w:tab/>
        </w:r>
        <w:r>
          <w:rPr>
            <w:color w:val="808080" w:themeColor="background1" w:themeShade="80"/>
          </w:rPr>
          <w:tab/>
        </w:r>
      </w:p>
    </w:sdtContent>
  </w:sdt>
  <w:p w14:paraId="0C62CFE9" w14:textId="77777777" w:rsidR="006827C6" w:rsidRDefault="006827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5880" w14:textId="77777777" w:rsidR="006827C6" w:rsidRDefault="006827C6" w:rsidP="009A5249">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26138" w14:textId="77777777" w:rsidR="001A3ACC" w:rsidRDefault="001A3ACC" w:rsidP="00C8420F">
      <w:pPr>
        <w:spacing w:after="0" w:line="240" w:lineRule="auto"/>
      </w:pPr>
      <w:r>
        <w:separator/>
      </w:r>
    </w:p>
  </w:footnote>
  <w:footnote w:type="continuationSeparator" w:id="0">
    <w:p w14:paraId="51A78AC4" w14:textId="77777777" w:rsidR="001A3ACC" w:rsidRDefault="001A3ACC" w:rsidP="00C8420F">
      <w:pPr>
        <w:spacing w:after="0" w:line="240" w:lineRule="auto"/>
      </w:pPr>
      <w:r>
        <w:continuationSeparator/>
      </w:r>
    </w:p>
  </w:footnote>
  <w:footnote w:type="continuationNotice" w:id="1">
    <w:p w14:paraId="04B5563B" w14:textId="77777777" w:rsidR="001A3ACC" w:rsidRDefault="001A3AC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88B0" w14:textId="77777777" w:rsidR="007C4A9F" w:rsidRDefault="007C4A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224"/>
    <w:multiLevelType w:val="multilevel"/>
    <w:tmpl w:val="70CA5D16"/>
    <w:lvl w:ilvl="0">
      <w:start w:val="3"/>
      <w:numFmt w:val="decimal"/>
      <w:lvlText w:val="%1"/>
      <w:lvlJc w:val="left"/>
      <w:pPr>
        <w:ind w:left="435" w:hanging="435"/>
      </w:pPr>
      <w:rPr>
        <w:rFonts w:hint="default"/>
      </w:rPr>
    </w:lvl>
    <w:lvl w:ilvl="1">
      <w:start w:val="4"/>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5F2A63"/>
    <w:multiLevelType w:val="hybridMultilevel"/>
    <w:tmpl w:val="23F4BDFE"/>
    <w:lvl w:ilvl="0" w:tplc="97401074">
      <w:numFmt w:val="bullet"/>
      <w:lvlText w:val="-"/>
      <w:lvlJc w:val="left"/>
      <w:pPr>
        <w:ind w:left="360" w:hanging="360"/>
      </w:pPr>
      <w:rPr>
        <w:rFonts w:ascii="Calibri" w:eastAsiaTheme="minorHAnsi" w:hAnsi="Calibri" w:cs="Calibri" w:hint="default"/>
      </w:rPr>
    </w:lvl>
    <w:lvl w:ilvl="1" w:tplc="1C090001">
      <w:start w:val="1"/>
      <w:numFmt w:val="bullet"/>
      <w:lvlText w:val=""/>
      <w:lvlJc w:val="left"/>
      <w:pPr>
        <w:ind w:left="1080" w:hanging="360"/>
      </w:pPr>
      <w:rPr>
        <w:rFonts w:ascii="Symbol" w:hAnsi="Symbol" w:hint="default"/>
      </w:rPr>
    </w:lvl>
    <w:lvl w:ilvl="2" w:tplc="1C090001">
      <w:start w:val="1"/>
      <w:numFmt w:val="bullet"/>
      <w:lvlText w:val=""/>
      <w:lvlJc w:val="left"/>
      <w:pPr>
        <w:ind w:left="1800" w:hanging="360"/>
      </w:pPr>
      <w:rPr>
        <w:rFonts w:ascii="Symbol" w:hAnsi="Symbol" w:hint="default"/>
      </w:rPr>
    </w:lvl>
    <w:lvl w:ilvl="3" w:tplc="97401074">
      <w:numFmt w:val="bullet"/>
      <w:lvlText w:val="-"/>
      <w:lvlJc w:val="left"/>
      <w:pPr>
        <w:ind w:left="2520" w:hanging="360"/>
      </w:pPr>
      <w:rPr>
        <w:rFonts w:ascii="Calibri" w:eastAsiaTheme="minorHAnsi" w:hAnsi="Calibri" w:cs="Calibri"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 w15:restartNumberingAfterBreak="0">
    <w:nsid w:val="035920A0"/>
    <w:multiLevelType w:val="multilevel"/>
    <w:tmpl w:val="A12824A6"/>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C2101"/>
    <w:multiLevelType w:val="hybridMultilevel"/>
    <w:tmpl w:val="ECFAD93E"/>
    <w:lvl w:ilvl="0" w:tplc="E4D8AE3E">
      <w:start w:val="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B7332"/>
    <w:multiLevelType w:val="multilevel"/>
    <w:tmpl w:val="413AE324"/>
    <w:lvl w:ilvl="0">
      <w:start w:val="5"/>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16588F"/>
    <w:multiLevelType w:val="multilevel"/>
    <w:tmpl w:val="5B484E54"/>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990735"/>
    <w:multiLevelType w:val="multilevel"/>
    <w:tmpl w:val="52668E0E"/>
    <w:lvl w:ilvl="0">
      <w:start w:val="5"/>
      <w:numFmt w:val="decimal"/>
      <w:lvlText w:val="%1"/>
      <w:lvlJc w:val="left"/>
      <w:pPr>
        <w:ind w:left="540" w:hanging="540"/>
      </w:pPr>
      <w:rPr>
        <w:rFonts w:hint="default"/>
      </w:rPr>
    </w:lvl>
    <w:lvl w:ilvl="1">
      <w:start w:val="10"/>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7136F8"/>
    <w:multiLevelType w:val="multilevel"/>
    <w:tmpl w:val="3D626024"/>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5E4A6D"/>
    <w:multiLevelType w:val="hybridMultilevel"/>
    <w:tmpl w:val="D47C2C10"/>
    <w:lvl w:ilvl="0" w:tplc="974010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0710E"/>
    <w:multiLevelType w:val="multilevel"/>
    <w:tmpl w:val="929CD60C"/>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2A5EB1"/>
    <w:multiLevelType w:val="multilevel"/>
    <w:tmpl w:val="06F0767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6003D6"/>
    <w:multiLevelType w:val="multilevel"/>
    <w:tmpl w:val="A12824A6"/>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637465F"/>
    <w:multiLevelType w:val="multilevel"/>
    <w:tmpl w:val="E5F46D6E"/>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0E4A2F"/>
    <w:multiLevelType w:val="multilevel"/>
    <w:tmpl w:val="929CD60C"/>
    <w:lvl w:ilvl="0">
      <w:start w:val="6"/>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1F3F25"/>
    <w:multiLevelType w:val="hybridMultilevel"/>
    <w:tmpl w:val="8022005A"/>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15:restartNumberingAfterBreak="0">
    <w:nsid w:val="2AC450C5"/>
    <w:multiLevelType w:val="hybridMultilevel"/>
    <w:tmpl w:val="C5EA3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AE16DB"/>
    <w:multiLevelType w:val="multilevel"/>
    <w:tmpl w:val="929CD60C"/>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A622CD"/>
    <w:multiLevelType w:val="multilevel"/>
    <w:tmpl w:val="9D40375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2DC6335"/>
    <w:multiLevelType w:val="multilevel"/>
    <w:tmpl w:val="5406D64C"/>
    <w:lvl w:ilvl="0">
      <w:start w:val="2"/>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9" w15:restartNumberingAfterBreak="0">
    <w:nsid w:val="32E8375B"/>
    <w:multiLevelType w:val="hybridMultilevel"/>
    <w:tmpl w:val="D79C357E"/>
    <w:lvl w:ilvl="0" w:tplc="1C090005">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20" w15:restartNumberingAfterBreak="0">
    <w:nsid w:val="347231F7"/>
    <w:multiLevelType w:val="multilevel"/>
    <w:tmpl w:val="BD584BDA"/>
    <w:lvl w:ilvl="0">
      <w:start w:val="1"/>
      <w:numFmt w:val="decimal"/>
      <w:pStyle w:val="Heading1"/>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12F6E05"/>
    <w:multiLevelType w:val="hybridMultilevel"/>
    <w:tmpl w:val="00A4E27A"/>
    <w:lvl w:ilvl="0" w:tplc="04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0DC5364"/>
    <w:multiLevelType w:val="hybridMultilevel"/>
    <w:tmpl w:val="C692777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53CD169D"/>
    <w:multiLevelType w:val="hybridMultilevel"/>
    <w:tmpl w:val="70D298C6"/>
    <w:lvl w:ilvl="0" w:tplc="97401074">
      <w:numFmt w:val="bullet"/>
      <w:lvlText w:val="-"/>
      <w:lvlJc w:val="left"/>
      <w:pPr>
        <w:ind w:left="360" w:hanging="360"/>
      </w:pPr>
      <w:rPr>
        <w:rFonts w:ascii="Calibri" w:eastAsiaTheme="minorHAnsi" w:hAnsi="Calibri" w:cs="Calibri" w:hint="default"/>
      </w:rPr>
    </w:lvl>
    <w:lvl w:ilvl="1" w:tplc="0409000B">
      <w:start w:val="1"/>
      <w:numFmt w:val="bullet"/>
      <w:lvlText w:val=""/>
      <w:lvlJc w:val="left"/>
      <w:pPr>
        <w:ind w:left="1080" w:hanging="360"/>
      </w:pPr>
      <w:rPr>
        <w:rFonts w:ascii="Wingdings" w:hAnsi="Wingdings" w:hint="default"/>
      </w:rPr>
    </w:lvl>
    <w:lvl w:ilvl="2" w:tplc="1C090001">
      <w:start w:val="1"/>
      <w:numFmt w:val="bullet"/>
      <w:lvlText w:val=""/>
      <w:lvlJc w:val="left"/>
      <w:pPr>
        <w:ind w:left="1800" w:hanging="360"/>
      </w:pPr>
      <w:rPr>
        <w:rFonts w:ascii="Symbol" w:hAnsi="Symbol" w:hint="default"/>
      </w:rPr>
    </w:lvl>
    <w:lvl w:ilvl="3" w:tplc="97401074">
      <w:numFmt w:val="bullet"/>
      <w:lvlText w:val="-"/>
      <w:lvlJc w:val="left"/>
      <w:pPr>
        <w:ind w:left="2520" w:hanging="360"/>
      </w:pPr>
      <w:rPr>
        <w:rFonts w:ascii="Calibri" w:eastAsiaTheme="minorHAnsi" w:hAnsi="Calibri" w:cs="Calibri"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4" w15:restartNumberingAfterBreak="0">
    <w:nsid w:val="57E53E8B"/>
    <w:multiLevelType w:val="hybridMultilevel"/>
    <w:tmpl w:val="5AF6E680"/>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5" w15:restartNumberingAfterBreak="0">
    <w:nsid w:val="68AB3377"/>
    <w:multiLevelType w:val="multilevel"/>
    <w:tmpl w:val="3B268986"/>
    <w:lvl w:ilvl="0">
      <w:start w:val="5"/>
      <w:numFmt w:val="decimal"/>
      <w:lvlText w:val="%1"/>
      <w:lvlJc w:val="left"/>
      <w:pPr>
        <w:ind w:left="435" w:hanging="435"/>
      </w:pPr>
      <w:rPr>
        <w:rFonts w:hint="default"/>
      </w:rPr>
    </w:lvl>
    <w:lvl w:ilvl="1">
      <w:start w:val="9"/>
      <w:numFmt w:val="decimal"/>
      <w:lvlText w:val="%1.%2"/>
      <w:lvlJc w:val="left"/>
      <w:pPr>
        <w:ind w:left="652" w:hanging="435"/>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26" w15:restartNumberingAfterBreak="0">
    <w:nsid w:val="705F4DC5"/>
    <w:multiLevelType w:val="hybridMultilevel"/>
    <w:tmpl w:val="0346D0D4"/>
    <w:lvl w:ilvl="0" w:tplc="0406A5B8">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0A0CF9"/>
    <w:multiLevelType w:val="hybridMultilevel"/>
    <w:tmpl w:val="A6AA7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391ACD"/>
    <w:multiLevelType w:val="multilevel"/>
    <w:tmpl w:val="C292EAB0"/>
    <w:lvl w:ilvl="0">
      <w:start w:val="5"/>
      <w:numFmt w:val="decimal"/>
      <w:lvlText w:val="%1"/>
      <w:lvlJc w:val="left"/>
      <w:pPr>
        <w:ind w:left="435" w:hanging="435"/>
      </w:pPr>
      <w:rPr>
        <w:rFonts w:hint="default"/>
      </w:rPr>
    </w:lvl>
    <w:lvl w:ilvl="1">
      <w:start w:val="9"/>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CA0274"/>
    <w:multiLevelType w:val="multilevel"/>
    <w:tmpl w:val="929CD60C"/>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F74E3C"/>
    <w:multiLevelType w:val="hybridMultilevel"/>
    <w:tmpl w:val="1BF60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1"/>
  </w:num>
  <w:num w:numId="3">
    <w:abstractNumId w:val="19"/>
  </w:num>
  <w:num w:numId="4">
    <w:abstractNumId w:val="26"/>
  </w:num>
  <w:num w:numId="5">
    <w:abstractNumId w:val="19"/>
  </w:num>
  <w:num w:numId="6">
    <w:abstractNumId w:val="1"/>
  </w:num>
  <w:num w:numId="7">
    <w:abstractNumId w:val="22"/>
  </w:num>
  <w:num w:numId="8">
    <w:abstractNumId w:val="30"/>
  </w:num>
  <w:num w:numId="9">
    <w:abstractNumId w:val="20"/>
  </w:num>
  <w:num w:numId="10">
    <w:abstractNumId w:val="20"/>
  </w:num>
  <w:num w:numId="11">
    <w:abstractNumId w:val="7"/>
  </w:num>
  <w:num w:numId="12">
    <w:abstractNumId w:val="15"/>
  </w:num>
  <w:num w:numId="13">
    <w:abstractNumId w:val="23"/>
  </w:num>
  <w:num w:numId="14">
    <w:abstractNumId w:val="27"/>
  </w:num>
  <w:num w:numId="15">
    <w:abstractNumId w:val="8"/>
  </w:num>
  <w:num w:numId="16">
    <w:abstractNumId w:val="18"/>
  </w:num>
  <w:num w:numId="17">
    <w:abstractNumId w:val="29"/>
  </w:num>
  <w:num w:numId="18">
    <w:abstractNumId w:val="9"/>
  </w:num>
  <w:num w:numId="19">
    <w:abstractNumId w:val="16"/>
  </w:num>
  <w:num w:numId="20">
    <w:abstractNumId w:val="13"/>
  </w:num>
  <w:num w:numId="21">
    <w:abstractNumId w:val="0"/>
  </w:num>
  <w:num w:numId="22">
    <w:abstractNumId w:val="4"/>
  </w:num>
  <w:num w:numId="23">
    <w:abstractNumId w:val="25"/>
  </w:num>
  <w:num w:numId="24">
    <w:abstractNumId w:val="28"/>
  </w:num>
  <w:num w:numId="25">
    <w:abstractNumId w:val="20"/>
  </w:num>
  <w:num w:numId="26">
    <w:abstractNumId w:val="6"/>
  </w:num>
  <w:num w:numId="27">
    <w:abstractNumId w:val="3"/>
  </w:num>
  <w:num w:numId="28">
    <w:abstractNumId w:val="20"/>
  </w:num>
  <w:num w:numId="29">
    <w:abstractNumId w:val="11"/>
  </w:num>
  <w:num w:numId="30">
    <w:abstractNumId w:val="17"/>
  </w:num>
  <w:num w:numId="31">
    <w:abstractNumId w:val="2"/>
  </w:num>
  <w:num w:numId="32">
    <w:abstractNumId w:val="14"/>
  </w:num>
  <w:num w:numId="33">
    <w:abstractNumId w:val="24"/>
  </w:num>
  <w:num w:numId="34">
    <w:abstractNumId w:val="12"/>
  </w:num>
  <w:num w:numId="35">
    <w:abstractNumId w:val="10"/>
  </w:num>
  <w:num w:numId="3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1"/>
    <w:rsid w:val="00001009"/>
    <w:rsid w:val="0000300C"/>
    <w:rsid w:val="00003599"/>
    <w:rsid w:val="000037F2"/>
    <w:rsid w:val="00006AD3"/>
    <w:rsid w:val="00006B49"/>
    <w:rsid w:val="00007B36"/>
    <w:rsid w:val="0001175F"/>
    <w:rsid w:val="00017FE6"/>
    <w:rsid w:val="00020F24"/>
    <w:rsid w:val="000248DA"/>
    <w:rsid w:val="00027EF1"/>
    <w:rsid w:val="0003065C"/>
    <w:rsid w:val="00033564"/>
    <w:rsid w:val="00033E43"/>
    <w:rsid w:val="000362A2"/>
    <w:rsid w:val="000415F7"/>
    <w:rsid w:val="000422AA"/>
    <w:rsid w:val="00042AE1"/>
    <w:rsid w:val="000431A7"/>
    <w:rsid w:val="00043370"/>
    <w:rsid w:val="00043C3D"/>
    <w:rsid w:val="0004614E"/>
    <w:rsid w:val="000503C2"/>
    <w:rsid w:val="00050B2D"/>
    <w:rsid w:val="00050B32"/>
    <w:rsid w:val="0005464A"/>
    <w:rsid w:val="00055B23"/>
    <w:rsid w:val="00056711"/>
    <w:rsid w:val="00061BB9"/>
    <w:rsid w:val="00062354"/>
    <w:rsid w:val="000632B0"/>
    <w:rsid w:val="0006458C"/>
    <w:rsid w:val="000645BA"/>
    <w:rsid w:val="00065F91"/>
    <w:rsid w:val="00067E3A"/>
    <w:rsid w:val="00070F58"/>
    <w:rsid w:val="00074A02"/>
    <w:rsid w:val="00080BB2"/>
    <w:rsid w:val="00080EF1"/>
    <w:rsid w:val="00084CC4"/>
    <w:rsid w:val="00084D3D"/>
    <w:rsid w:val="00084DF6"/>
    <w:rsid w:val="00087DCF"/>
    <w:rsid w:val="00090476"/>
    <w:rsid w:val="000911EC"/>
    <w:rsid w:val="00091258"/>
    <w:rsid w:val="00094B5C"/>
    <w:rsid w:val="00096073"/>
    <w:rsid w:val="00097296"/>
    <w:rsid w:val="00097833"/>
    <w:rsid w:val="000A3078"/>
    <w:rsid w:val="000A31EF"/>
    <w:rsid w:val="000A4170"/>
    <w:rsid w:val="000A4E1C"/>
    <w:rsid w:val="000B05EC"/>
    <w:rsid w:val="000B13C9"/>
    <w:rsid w:val="000B1802"/>
    <w:rsid w:val="000B407F"/>
    <w:rsid w:val="000B40BF"/>
    <w:rsid w:val="000B4424"/>
    <w:rsid w:val="000B45AD"/>
    <w:rsid w:val="000B692C"/>
    <w:rsid w:val="000B7660"/>
    <w:rsid w:val="000C44EB"/>
    <w:rsid w:val="000C4957"/>
    <w:rsid w:val="000C55DF"/>
    <w:rsid w:val="000D166C"/>
    <w:rsid w:val="000D18AC"/>
    <w:rsid w:val="000D1DBE"/>
    <w:rsid w:val="000D4557"/>
    <w:rsid w:val="000E0C02"/>
    <w:rsid w:val="000E18B9"/>
    <w:rsid w:val="000E4DE3"/>
    <w:rsid w:val="000F0F5E"/>
    <w:rsid w:val="000F17C2"/>
    <w:rsid w:val="000F227E"/>
    <w:rsid w:val="000F2CA9"/>
    <w:rsid w:val="000F6B5D"/>
    <w:rsid w:val="000F7377"/>
    <w:rsid w:val="0010189A"/>
    <w:rsid w:val="001061BB"/>
    <w:rsid w:val="0010716A"/>
    <w:rsid w:val="001119CC"/>
    <w:rsid w:val="00114018"/>
    <w:rsid w:val="0011473A"/>
    <w:rsid w:val="0011647C"/>
    <w:rsid w:val="00117202"/>
    <w:rsid w:val="00120C26"/>
    <w:rsid w:val="00120D79"/>
    <w:rsid w:val="0012146E"/>
    <w:rsid w:val="00122545"/>
    <w:rsid w:val="0012312C"/>
    <w:rsid w:val="0012363F"/>
    <w:rsid w:val="0012489C"/>
    <w:rsid w:val="00124BB3"/>
    <w:rsid w:val="00125D21"/>
    <w:rsid w:val="00126672"/>
    <w:rsid w:val="0012791E"/>
    <w:rsid w:val="00132012"/>
    <w:rsid w:val="00132A9F"/>
    <w:rsid w:val="00134600"/>
    <w:rsid w:val="00135AF2"/>
    <w:rsid w:val="001362C7"/>
    <w:rsid w:val="001401F2"/>
    <w:rsid w:val="001402DA"/>
    <w:rsid w:val="00140C63"/>
    <w:rsid w:val="00140E18"/>
    <w:rsid w:val="00141417"/>
    <w:rsid w:val="00141AFB"/>
    <w:rsid w:val="001422D5"/>
    <w:rsid w:val="0014325D"/>
    <w:rsid w:val="001433A5"/>
    <w:rsid w:val="00145308"/>
    <w:rsid w:val="00151BC6"/>
    <w:rsid w:val="00157032"/>
    <w:rsid w:val="00162349"/>
    <w:rsid w:val="001649D3"/>
    <w:rsid w:val="00165E6E"/>
    <w:rsid w:val="00166C32"/>
    <w:rsid w:val="0016737F"/>
    <w:rsid w:val="0017124F"/>
    <w:rsid w:val="0017148D"/>
    <w:rsid w:val="001715A1"/>
    <w:rsid w:val="0017276D"/>
    <w:rsid w:val="00173CB4"/>
    <w:rsid w:val="0017435C"/>
    <w:rsid w:val="00174454"/>
    <w:rsid w:val="00174B37"/>
    <w:rsid w:val="00174DD0"/>
    <w:rsid w:val="001763FE"/>
    <w:rsid w:val="00176F5D"/>
    <w:rsid w:val="00177E5A"/>
    <w:rsid w:val="00181782"/>
    <w:rsid w:val="001839CA"/>
    <w:rsid w:val="001842D8"/>
    <w:rsid w:val="00185B08"/>
    <w:rsid w:val="00186AA9"/>
    <w:rsid w:val="00186AE0"/>
    <w:rsid w:val="00190069"/>
    <w:rsid w:val="00190DD9"/>
    <w:rsid w:val="001A2231"/>
    <w:rsid w:val="001A37B8"/>
    <w:rsid w:val="001A3A89"/>
    <w:rsid w:val="001A3ACC"/>
    <w:rsid w:val="001A4352"/>
    <w:rsid w:val="001B1185"/>
    <w:rsid w:val="001B4988"/>
    <w:rsid w:val="001B5A2A"/>
    <w:rsid w:val="001B5A59"/>
    <w:rsid w:val="001B5B2D"/>
    <w:rsid w:val="001C31D4"/>
    <w:rsid w:val="001C4D14"/>
    <w:rsid w:val="001C52C2"/>
    <w:rsid w:val="001C5802"/>
    <w:rsid w:val="001C5FA8"/>
    <w:rsid w:val="001D096B"/>
    <w:rsid w:val="001D11C0"/>
    <w:rsid w:val="001D11D1"/>
    <w:rsid w:val="001D1AE1"/>
    <w:rsid w:val="001D20B7"/>
    <w:rsid w:val="001D36F6"/>
    <w:rsid w:val="001D3871"/>
    <w:rsid w:val="001D7AE3"/>
    <w:rsid w:val="001D7FAA"/>
    <w:rsid w:val="001E0D6B"/>
    <w:rsid w:val="001E125B"/>
    <w:rsid w:val="001E2513"/>
    <w:rsid w:val="001E39B9"/>
    <w:rsid w:val="001E5E26"/>
    <w:rsid w:val="001E5E65"/>
    <w:rsid w:val="001E6064"/>
    <w:rsid w:val="001F06A9"/>
    <w:rsid w:val="001F1390"/>
    <w:rsid w:val="001F264F"/>
    <w:rsid w:val="001F28FA"/>
    <w:rsid w:val="001F3AA9"/>
    <w:rsid w:val="001F4ED8"/>
    <w:rsid w:val="001F723B"/>
    <w:rsid w:val="00200349"/>
    <w:rsid w:val="0020048D"/>
    <w:rsid w:val="00201AB1"/>
    <w:rsid w:val="00203917"/>
    <w:rsid w:val="00204645"/>
    <w:rsid w:val="0021430B"/>
    <w:rsid w:val="00220394"/>
    <w:rsid w:val="00223E05"/>
    <w:rsid w:val="002263CC"/>
    <w:rsid w:val="00237973"/>
    <w:rsid w:val="002379D6"/>
    <w:rsid w:val="00242379"/>
    <w:rsid w:val="00243270"/>
    <w:rsid w:val="00243CB3"/>
    <w:rsid w:val="00245AA5"/>
    <w:rsid w:val="00251804"/>
    <w:rsid w:val="00251AC5"/>
    <w:rsid w:val="002520FB"/>
    <w:rsid w:val="00253330"/>
    <w:rsid w:val="00254518"/>
    <w:rsid w:val="00255D78"/>
    <w:rsid w:val="00262473"/>
    <w:rsid w:val="002648C5"/>
    <w:rsid w:val="00266581"/>
    <w:rsid w:val="002669E3"/>
    <w:rsid w:val="002722D9"/>
    <w:rsid w:val="0027569F"/>
    <w:rsid w:val="0027737E"/>
    <w:rsid w:val="002776D3"/>
    <w:rsid w:val="00277DD0"/>
    <w:rsid w:val="002843AC"/>
    <w:rsid w:val="00286A7B"/>
    <w:rsid w:val="002917B2"/>
    <w:rsid w:val="00293509"/>
    <w:rsid w:val="00293BD2"/>
    <w:rsid w:val="0029639B"/>
    <w:rsid w:val="002A103A"/>
    <w:rsid w:val="002A49B0"/>
    <w:rsid w:val="002A4F5C"/>
    <w:rsid w:val="002A5CCC"/>
    <w:rsid w:val="002A76BF"/>
    <w:rsid w:val="002A7911"/>
    <w:rsid w:val="002B11BF"/>
    <w:rsid w:val="002B5966"/>
    <w:rsid w:val="002B772E"/>
    <w:rsid w:val="002C3D33"/>
    <w:rsid w:val="002C6499"/>
    <w:rsid w:val="002C67D2"/>
    <w:rsid w:val="002D06C7"/>
    <w:rsid w:val="002D42DA"/>
    <w:rsid w:val="002D5608"/>
    <w:rsid w:val="002D5EE6"/>
    <w:rsid w:val="002E04BB"/>
    <w:rsid w:val="002E4479"/>
    <w:rsid w:val="002E44F7"/>
    <w:rsid w:val="002E5BEB"/>
    <w:rsid w:val="002E6485"/>
    <w:rsid w:val="002F05C6"/>
    <w:rsid w:val="002F0C5A"/>
    <w:rsid w:val="002F291B"/>
    <w:rsid w:val="002F456F"/>
    <w:rsid w:val="002F5B09"/>
    <w:rsid w:val="002F6B85"/>
    <w:rsid w:val="002F7005"/>
    <w:rsid w:val="002F7B16"/>
    <w:rsid w:val="003010A7"/>
    <w:rsid w:val="00302AF9"/>
    <w:rsid w:val="00305FAC"/>
    <w:rsid w:val="00311EF9"/>
    <w:rsid w:val="00311F9A"/>
    <w:rsid w:val="00312070"/>
    <w:rsid w:val="003142AD"/>
    <w:rsid w:val="00315800"/>
    <w:rsid w:val="00317134"/>
    <w:rsid w:val="00321294"/>
    <w:rsid w:val="00322411"/>
    <w:rsid w:val="0032497D"/>
    <w:rsid w:val="003302F3"/>
    <w:rsid w:val="0034555E"/>
    <w:rsid w:val="0034564D"/>
    <w:rsid w:val="00345A0F"/>
    <w:rsid w:val="00346AC6"/>
    <w:rsid w:val="00347E9F"/>
    <w:rsid w:val="00350CDC"/>
    <w:rsid w:val="00355D6E"/>
    <w:rsid w:val="00360E40"/>
    <w:rsid w:val="00363F4F"/>
    <w:rsid w:val="0036413F"/>
    <w:rsid w:val="00366425"/>
    <w:rsid w:val="003705DF"/>
    <w:rsid w:val="00370756"/>
    <w:rsid w:val="00370871"/>
    <w:rsid w:val="00370E38"/>
    <w:rsid w:val="0037251C"/>
    <w:rsid w:val="00372DD7"/>
    <w:rsid w:val="00373437"/>
    <w:rsid w:val="003762E3"/>
    <w:rsid w:val="00377E09"/>
    <w:rsid w:val="00377E2A"/>
    <w:rsid w:val="00377F75"/>
    <w:rsid w:val="003802CA"/>
    <w:rsid w:val="00382090"/>
    <w:rsid w:val="00382E93"/>
    <w:rsid w:val="00383598"/>
    <w:rsid w:val="003850BE"/>
    <w:rsid w:val="00386533"/>
    <w:rsid w:val="00392F7C"/>
    <w:rsid w:val="003940AB"/>
    <w:rsid w:val="00394E05"/>
    <w:rsid w:val="00395A0C"/>
    <w:rsid w:val="00396A98"/>
    <w:rsid w:val="00397084"/>
    <w:rsid w:val="003A0216"/>
    <w:rsid w:val="003A1FAF"/>
    <w:rsid w:val="003A272B"/>
    <w:rsid w:val="003A28F2"/>
    <w:rsid w:val="003A5F2C"/>
    <w:rsid w:val="003B0160"/>
    <w:rsid w:val="003B0335"/>
    <w:rsid w:val="003B04E3"/>
    <w:rsid w:val="003B0BD3"/>
    <w:rsid w:val="003B102E"/>
    <w:rsid w:val="003B2DC8"/>
    <w:rsid w:val="003B4A99"/>
    <w:rsid w:val="003B4BA7"/>
    <w:rsid w:val="003B5A1B"/>
    <w:rsid w:val="003B70CF"/>
    <w:rsid w:val="003B7581"/>
    <w:rsid w:val="003C011A"/>
    <w:rsid w:val="003C1C6A"/>
    <w:rsid w:val="003C46D5"/>
    <w:rsid w:val="003D0F68"/>
    <w:rsid w:val="003D1369"/>
    <w:rsid w:val="003D16B5"/>
    <w:rsid w:val="003D2458"/>
    <w:rsid w:val="003D2780"/>
    <w:rsid w:val="003D7303"/>
    <w:rsid w:val="003D7EB0"/>
    <w:rsid w:val="003E6D8C"/>
    <w:rsid w:val="003F15FC"/>
    <w:rsid w:val="003F669E"/>
    <w:rsid w:val="004003D4"/>
    <w:rsid w:val="00403580"/>
    <w:rsid w:val="00403EF7"/>
    <w:rsid w:val="00407E3C"/>
    <w:rsid w:val="00414EF0"/>
    <w:rsid w:val="0041630F"/>
    <w:rsid w:val="00417738"/>
    <w:rsid w:val="00417AC6"/>
    <w:rsid w:val="004220A3"/>
    <w:rsid w:val="00422697"/>
    <w:rsid w:val="00423FA6"/>
    <w:rsid w:val="00430E86"/>
    <w:rsid w:val="0043220E"/>
    <w:rsid w:val="0043394A"/>
    <w:rsid w:val="00433CCA"/>
    <w:rsid w:val="0043596E"/>
    <w:rsid w:val="0043674D"/>
    <w:rsid w:val="00436D76"/>
    <w:rsid w:val="00444724"/>
    <w:rsid w:val="00451FCE"/>
    <w:rsid w:val="0045463E"/>
    <w:rsid w:val="00455FF7"/>
    <w:rsid w:val="004564EA"/>
    <w:rsid w:val="004634A4"/>
    <w:rsid w:val="00463693"/>
    <w:rsid w:val="00466743"/>
    <w:rsid w:val="004674AE"/>
    <w:rsid w:val="004675AA"/>
    <w:rsid w:val="00467EEF"/>
    <w:rsid w:val="00470119"/>
    <w:rsid w:val="00470784"/>
    <w:rsid w:val="00472CD1"/>
    <w:rsid w:val="004731C0"/>
    <w:rsid w:val="00473ECC"/>
    <w:rsid w:val="0047429F"/>
    <w:rsid w:val="00475515"/>
    <w:rsid w:val="004820F9"/>
    <w:rsid w:val="0048243C"/>
    <w:rsid w:val="004825A5"/>
    <w:rsid w:val="00482CF9"/>
    <w:rsid w:val="00484CAE"/>
    <w:rsid w:val="0048747A"/>
    <w:rsid w:val="00487494"/>
    <w:rsid w:val="00490769"/>
    <w:rsid w:val="00490BC1"/>
    <w:rsid w:val="004917A7"/>
    <w:rsid w:val="004972B7"/>
    <w:rsid w:val="00497FEA"/>
    <w:rsid w:val="004A0DF1"/>
    <w:rsid w:val="004A2CEC"/>
    <w:rsid w:val="004A33A0"/>
    <w:rsid w:val="004A7882"/>
    <w:rsid w:val="004B08E5"/>
    <w:rsid w:val="004B1F95"/>
    <w:rsid w:val="004B55F0"/>
    <w:rsid w:val="004C0620"/>
    <w:rsid w:val="004C696B"/>
    <w:rsid w:val="004C7E3C"/>
    <w:rsid w:val="004D11E8"/>
    <w:rsid w:val="004D23C0"/>
    <w:rsid w:val="004D50CC"/>
    <w:rsid w:val="004D61B4"/>
    <w:rsid w:val="004D642D"/>
    <w:rsid w:val="004D7B32"/>
    <w:rsid w:val="004E2DE7"/>
    <w:rsid w:val="004E3AFD"/>
    <w:rsid w:val="004E6ED5"/>
    <w:rsid w:val="004E767B"/>
    <w:rsid w:val="004E7F14"/>
    <w:rsid w:val="004F1301"/>
    <w:rsid w:val="004F47F7"/>
    <w:rsid w:val="004F4D80"/>
    <w:rsid w:val="00500369"/>
    <w:rsid w:val="0050219B"/>
    <w:rsid w:val="00504C39"/>
    <w:rsid w:val="00504D09"/>
    <w:rsid w:val="005053EB"/>
    <w:rsid w:val="0050570F"/>
    <w:rsid w:val="0050795C"/>
    <w:rsid w:val="00511170"/>
    <w:rsid w:val="0051220D"/>
    <w:rsid w:val="00512456"/>
    <w:rsid w:val="00512C43"/>
    <w:rsid w:val="00512C46"/>
    <w:rsid w:val="005135EC"/>
    <w:rsid w:val="00515041"/>
    <w:rsid w:val="00516053"/>
    <w:rsid w:val="00516651"/>
    <w:rsid w:val="00517810"/>
    <w:rsid w:val="00522F22"/>
    <w:rsid w:val="00524B51"/>
    <w:rsid w:val="00526B36"/>
    <w:rsid w:val="005275D7"/>
    <w:rsid w:val="00531448"/>
    <w:rsid w:val="00536E6D"/>
    <w:rsid w:val="00537E0D"/>
    <w:rsid w:val="00541979"/>
    <w:rsid w:val="005500BF"/>
    <w:rsid w:val="005508DE"/>
    <w:rsid w:val="005514E8"/>
    <w:rsid w:val="005544E0"/>
    <w:rsid w:val="005555E6"/>
    <w:rsid w:val="00560AD5"/>
    <w:rsid w:val="00563026"/>
    <w:rsid w:val="00565AEF"/>
    <w:rsid w:val="005719E7"/>
    <w:rsid w:val="00571F08"/>
    <w:rsid w:val="00577C0E"/>
    <w:rsid w:val="00581504"/>
    <w:rsid w:val="00581FA7"/>
    <w:rsid w:val="00582E46"/>
    <w:rsid w:val="00583600"/>
    <w:rsid w:val="005845B4"/>
    <w:rsid w:val="00584B97"/>
    <w:rsid w:val="00586D6B"/>
    <w:rsid w:val="00591AD6"/>
    <w:rsid w:val="00594180"/>
    <w:rsid w:val="00594A52"/>
    <w:rsid w:val="00594B5F"/>
    <w:rsid w:val="00596D13"/>
    <w:rsid w:val="00597E5F"/>
    <w:rsid w:val="005A1D44"/>
    <w:rsid w:val="005A52C6"/>
    <w:rsid w:val="005B0408"/>
    <w:rsid w:val="005B3378"/>
    <w:rsid w:val="005B5B65"/>
    <w:rsid w:val="005B69EB"/>
    <w:rsid w:val="005B6BF6"/>
    <w:rsid w:val="005B705B"/>
    <w:rsid w:val="005C12F2"/>
    <w:rsid w:val="005C1769"/>
    <w:rsid w:val="005C2CEC"/>
    <w:rsid w:val="005C3EE3"/>
    <w:rsid w:val="005C7FA2"/>
    <w:rsid w:val="005D26ED"/>
    <w:rsid w:val="005D48EC"/>
    <w:rsid w:val="005D509E"/>
    <w:rsid w:val="005D5280"/>
    <w:rsid w:val="005D5E83"/>
    <w:rsid w:val="005D66F8"/>
    <w:rsid w:val="005E0B49"/>
    <w:rsid w:val="005E174F"/>
    <w:rsid w:val="005E1777"/>
    <w:rsid w:val="005E1B51"/>
    <w:rsid w:val="005E24B1"/>
    <w:rsid w:val="005E3262"/>
    <w:rsid w:val="005E3290"/>
    <w:rsid w:val="005E371C"/>
    <w:rsid w:val="005E4925"/>
    <w:rsid w:val="005E5CD3"/>
    <w:rsid w:val="005E739D"/>
    <w:rsid w:val="005E7CBD"/>
    <w:rsid w:val="005E7DB0"/>
    <w:rsid w:val="005F01D7"/>
    <w:rsid w:val="005F3195"/>
    <w:rsid w:val="005F5722"/>
    <w:rsid w:val="005F69A0"/>
    <w:rsid w:val="005F7804"/>
    <w:rsid w:val="005F7E78"/>
    <w:rsid w:val="006051E8"/>
    <w:rsid w:val="0061086F"/>
    <w:rsid w:val="00612640"/>
    <w:rsid w:val="006128BA"/>
    <w:rsid w:val="0061311D"/>
    <w:rsid w:val="00613ACC"/>
    <w:rsid w:val="0061700B"/>
    <w:rsid w:val="006206BA"/>
    <w:rsid w:val="00620A56"/>
    <w:rsid w:val="006232E9"/>
    <w:rsid w:val="006234DA"/>
    <w:rsid w:val="0062454D"/>
    <w:rsid w:val="00624B19"/>
    <w:rsid w:val="0062511B"/>
    <w:rsid w:val="0062699B"/>
    <w:rsid w:val="00631EA3"/>
    <w:rsid w:val="00633CB4"/>
    <w:rsid w:val="006441B5"/>
    <w:rsid w:val="00644431"/>
    <w:rsid w:val="00645C6D"/>
    <w:rsid w:val="006461DA"/>
    <w:rsid w:val="00646595"/>
    <w:rsid w:val="00647C60"/>
    <w:rsid w:val="00652A4A"/>
    <w:rsid w:val="00653F4E"/>
    <w:rsid w:val="0065481F"/>
    <w:rsid w:val="006569B6"/>
    <w:rsid w:val="006570FF"/>
    <w:rsid w:val="0066403E"/>
    <w:rsid w:val="00666F8F"/>
    <w:rsid w:val="00676069"/>
    <w:rsid w:val="00676A7C"/>
    <w:rsid w:val="00680B4F"/>
    <w:rsid w:val="00680C76"/>
    <w:rsid w:val="006816B4"/>
    <w:rsid w:val="006827C6"/>
    <w:rsid w:val="00682992"/>
    <w:rsid w:val="00684EEE"/>
    <w:rsid w:val="006852E5"/>
    <w:rsid w:val="006901B4"/>
    <w:rsid w:val="006902DF"/>
    <w:rsid w:val="0069662E"/>
    <w:rsid w:val="006979AC"/>
    <w:rsid w:val="00697C2A"/>
    <w:rsid w:val="006A17A7"/>
    <w:rsid w:val="006A2F60"/>
    <w:rsid w:val="006A44F5"/>
    <w:rsid w:val="006A5173"/>
    <w:rsid w:val="006A5350"/>
    <w:rsid w:val="006A5A85"/>
    <w:rsid w:val="006A5C8A"/>
    <w:rsid w:val="006B0302"/>
    <w:rsid w:val="006B0528"/>
    <w:rsid w:val="006C093B"/>
    <w:rsid w:val="006C2979"/>
    <w:rsid w:val="006C52BC"/>
    <w:rsid w:val="006C5683"/>
    <w:rsid w:val="006C7CE1"/>
    <w:rsid w:val="006C7F7C"/>
    <w:rsid w:val="006D29AB"/>
    <w:rsid w:val="006D34BC"/>
    <w:rsid w:val="006D408E"/>
    <w:rsid w:val="006E479D"/>
    <w:rsid w:val="006E6FDB"/>
    <w:rsid w:val="006F3623"/>
    <w:rsid w:val="006F582B"/>
    <w:rsid w:val="006F5C66"/>
    <w:rsid w:val="00700E6B"/>
    <w:rsid w:val="0070573A"/>
    <w:rsid w:val="007108C4"/>
    <w:rsid w:val="00711976"/>
    <w:rsid w:val="00711D8E"/>
    <w:rsid w:val="00712057"/>
    <w:rsid w:val="00712607"/>
    <w:rsid w:val="007135EB"/>
    <w:rsid w:val="00713671"/>
    <w:rsid w:val="007139A4"/>
    <w:rsid w:val="00713A16"/>
    <w:rsid w:val="00715376"/>
    <w:rsid w:val="007154E7"/>
    <w:rsid w:val="00716A44"/>
    <w:rsid w:val="00716E9A"/>
    <w:rsid w:val="007259CF"/>
    <w:rsid w:val="00726D77"/>
    <w:rsid w:val="00727348"/>
    <w:rsid w:val="0073505E"/>
    <w:rsid w:val="00736049"/>
    <w:rsid w:val="00743D04"/>
    <w:rsid w:val="007511BA"/>
    <w:rsid w:val="007515A3"/>
    <w:rsid w:val="00751651"/>
    <w:rsid w:val="00751E03"/>
    <w:rsid w:val="00753A30"/>
    <w:rsid w:val="0075652E"/>
    <w:rsid w:val="007569BC"/>
    <w:rsid w:val="007619C3"/>
    <w:rsid w:val="00761D43"/>
    <w:rsid w:val="007672BC"/>
    <w:rsid w:val="007736DC"/>
    <w:rsid w:val="0077484A"/>
    <w:rsid w:val="00782174"/>
    <w:rsid w:val="00782A61"/>
    <w:rsid w:val="00783696"/>
    <w:rsid w:val="0078492F"/>
    <w:rsid w:val="00784D32"/>
    <w:rsid w:val="00784DB9"/>
    <w:rsid w:val="00790EAD"/>
    <w:rsid w:val="00792C84"/>
    <w:rsid w:val="007949A3"/>
    <w:rsid w:val="00794E06"/>
    <w:rsid w:val="0079622F"/>
    <w:rsid w:val="00796D29"/>
    <w:rsid w:val="007A0469"/>
    <w:rsid w:val="007A11D9"/>
    <w:rsid w:val="007A1395"/>
    <w:rsid w:val="007A4DC3"/>
    <w:rsid w:val="007A4DF9"/>
    <w:rsid w:val="007A530E"/>
    <w:rsid w:val="007A5B50"/>
    <w:rsid w:val="007A6FC3"/>
    <w:rsid w:val="007A7376"/>
    <w:rsid w:val="007B2AD4"/>
    <w:rsid w:val="007B2C4E"/>
    <w:rsid w:val="007B323A"/>
    <w:rsid w:val="007B4865"/>
    <w:rsid w:val="007B549A"/>
    <w:rsid w:val="007B58E5"/>
    <w:rsid w:val="007B7BD7"/>
    <w:rsid w:val="007B7ED9"/>
    <w:rsid w:val="007C0A5F"/>
    <w:rsid w:val="007C292E"/>
    <w:rsid w:val="007C481B"/>
    <w:rsid w:val="007C4A9F"/>
    <w:rsid w:val="007D12FE"/>
    <w:rsid w:val="007D7326"/>
    <w:rsid w:val="007E3190"/>
    <w:rsid w:val="007E4709"/>
    <w:rsid w:val="007E7643"/>
    <w:rsid w:val="007F3862"/>
    <w:rsid w:val="007F542A"/>
    <w:rsid w:val="007F7491"/>
    <w:rsid w:val="007F7DB0"/>
    <w:rsid w:val="00800184"/>
    <w:rsid w:val="008005A6"/>
    <w:rsid w:val="00801454"/>
    <w:rsid w:val="0080170A"/>
    <w:rsid w:val="00802612"/>
    <w:rsid w:val="008044BE"/>
    <w:rsid w:val="00804953"/>
    <w:rsid w:val="0080611C"/>
    <w:rsid w:val="0080761C"/>
    <w:rsid w:val="00807CAC"/>
    <w:rsid w:val="00807D2C"/>
    <w:rsid w:val="008102EC"/>
    <w:rsid w:val="0081032F"/>
    <w:rsid w:val="008104DB"/>
    <w:rsid w:val="00813EDE"/>
    <w:rsid w:val="00813F67"/>
    <w:rsid w:val="00814900"/>
    <w:rsid w:val="00815118"/>
    <w:rsid w:val="0082271F"/>
    <w:rsid w:val="0082388C"/>
    <w:rsid w:val="00826D06"/>
    <w:rsid w:val="00827823"/>
    <w:rsid w:val="00831241"/>
    <w:rsid w:val="00831F8A"/>
    <w:rsid w:val="008322E9"/>
    <w:rsid w:val="0083258D"/>
    <w:rsid w:val="00837C51"/>
    <w:rsid w:val="0084030D"/>
    <w:rsid w:val="00841E5E"/>
    <w:rsid w:val="008421B7"/>
    <w:rsid w:val="00842581"/>
    <w:rsid w:val="008429AB"/>
    <w:rsid w:val="00844926"/>
    <w:rsid w:val="008458C5"/>
    <w:rsid w:val="00846FAC"/>
    <w:rsid w:val="00847E8E"/>
    <w:rsid w:val="008506CF"/>
    <w:rsid w:val="008508A3"/>
    <w:rsid w:val="008550BF"/>
    <w:rsid w:val="00856233"/>
    <w:rsid w:val="00856FCA"/>
    <w:rsid w:val="00862D48"/>
    <w:rsid w:val="008631E2"/>
    <w:rsid w:val="0087203D"/>
    <w:rsid w:val="00872569"/>
    <w:rsid w:val="008737A4"/>
    <w:rsid w:val="00876481"/>
    <w:rsid w:val="00876F7C"/>
    <w:rsid w:val="00880DB9"/>
    <w:rsid w:val="00884D29"/>
    <w:rsid w:val="00891CAC"/>
    <w:rsid w:val="00892536"/>
    <w:rsid w:val="0089404D"/>
    <w:rsid w:val="00894707"/>
    <w:rsid w:val="00894D1F"/>
    <w:rsid w:val="0089616C"/>
    <w:rsid w:val="008972B8"/>
    <w:rsid w:val="00897DCE"/>
    <w:rsid w:val="008A2294"/>
    <w:rsid w:val="008A2788"/>
    <w:rsid w:val="008A372E"/>
    <w:rsid w:val="008A4733"/>
    <w:rsid w:val="008A4CA4"/>
    <w:rsid w:val="008A6501"/>
    <w:rsid w:val="008A685E"/>
    <w:rsid w:val="008B10CA"/>
    <w:rsid w:val="008B126F"/>
    <w:rsid w:val="008B2C3D"/>
    <w:rsid w:val="008B3C6F"/>
    <w:rsid w:val="008B5E6D"/>
    <w:rsid w:val="008B76D2"/>
    <w:rsid w:val="008C02CB"/>
    <w:rsid w:val="008C0D8B"/>
    <w:rsid w:val="008C4BFA"/>
    <w:rsid w:val="008C68FD"/>
    <w:rsid w:val="008D18FF"/>
    <w:rsid w:val="008D44B4"/>
    <w:rsid w:val="008D635F"/>
    <w:rsid w:val="008D6CEC"/>
    <w:rsid w:val="008E1398"/>
    <w:rsid w:val="008E1DF3"/>
    <w:rsid w:val="008E22CB"/>
    <w:rsid w:val="008E4B03"/>
    <w:rsid w:val="008E4C55"/>
    <w:rsid w:val="008E4ECD"/>
    <w:rsid w:val="008E6795"/>
    <w:rsid w:val="008F24CB"/>
    <w:rsid w:val="008F2528"/>
    <w:rsid w:val="008F471B"/>
    <w:rsid w:val="008F495F"/>
    <w:rsid w:val="008F4E6F"/>
    <w:rsid w:val="008F5B74"/>
    <w:rsid w:val="00902CFC"/>
    <w:rsid w:val="00904C4F"/>
    <w:rsid w:val="00906A32"/>
    <w:rsid w:val="00906DC4"/>
    <w:rsid w:val="00912C95"/>
    <w:rsid w:val="00914E79"/>
    <w:rsid w:val="009150DC"/>
    <w:rsid w:val="00915961"/>
    <w:rsid w:val="00916794"/>
    <w:rsid w:val="00916A99"/>
    <w:rsid w:val="00922CFF"/>
    <w:rsid w:val="009244D4"/>
    <w:rsid w:val="00927AC8"/>
    <w:rsid w:val="00931D98"/>
    <w:rsid w:val="00933E88"/>
    <w:rsid w:val="00934FA5"/>
    <w:rsid w:val="009358C5"/>
    <w:rsid w:val="009401AC"/>
    <w:rsid w:val="0094572C"/>
    <w:rsid w:val="00946563"/>
    <w:rsid w:val="00951150"/>
    <w:rsid w:val="00956765"/>
    <w:rsid w:val="0096041C"/>
    <w:rsid w:val="00965732"/>
    <w:rsid w:val="00970C73"/>
    <w:rsid w:val="00970FA3"/>
    <w:rsid w:val="00976D5C"/>
    <w:rsid w:val="00981EBA"/>
    <w:rsid w:val="009858DE"/>
    <w:rsid w:val="00986A3D"/>
    <w:rsid w:val="00990E9B"/>
    <w:rsid w:val="00991F79"/>
    <w:rsid w:val="0099232A"/>
    <w:rsid w:val="00993076"/>
    <w:rsid w:val="00993BD7"/>
    <w:rsid w:val="0099474A"/>
    <w:rsid w:val="00995A40"/>
    <w:rsid w:val="009970D7"/>
    <w:rsid w:val="009977F8"/>
    <w:rsid w:val="009A0667"/>
    <w:rsid w:val="009A20A3"/>
    <w:rsid w:val="009A5249"/>
    <w:rsid w:val="009A63A1"/>
    <w:rsid w:val="009A76D0"/>
    <w:rsid w:val="009A7B09"/>
    <w:rsid w:val="009B1830"/>
    <w:rsid w:val="009B336F"/>
    <w:rsid w:val="009B3FB3"/>
    <w:rsid w:val="009B6C4A"/>
    <w:rsid w:val="009B7CB8"/>
    <w:rsid w:val="009C293A"/>
    <w:rsid w:val="009C425A"/>
    <w:rsid w:val="009C6938"/>
    <w:rsid w:val="009C798A"/>
    <w:rsid w:val="009D024D"/>
    <w:rsid w:val="009D1791"/>
    <w:rsid w:val="009D2FF1"/>
    <w:rsid w:val="009D4A7A"/>
    <w:rsid w:val="009E06E5"/>
    <w:rsid w:val="009E10E6"/>
    <w:rsid w:val="009F10FF"/>
    <w:rsid w:val="009F228F"/>
    <w:rsid w:val="009F64E2"/>
    <w:rsid w:val="009F6F7D"/>
    <w:rsid w:val="00A00197"/>
    <w:rsid w:val="00A03F03"/>
    <w:rsid w:val="00A04800"/>
    <w:rsid w:val="00A05A55"/>
    <w:rsid w:val="00A063FC"/>
    <w:rsid w:val="00A11AD6"/>
    <w:rsid w:val="00A12C1A"/>
    <w:rsid w:val="00A17E37"/>
    <w:rsid w:val="00A2145C"/>
    <w:rsid w:val="00A21518"/>
    <w:rsid w:val="00A227B1"/>
    <w:rsid w:val="00A260D8"/>
    <w:rsid w:val="00A26325"/>
    <w:rsid w:val="00A27B0A"/>
    <w:rsid w:val="00A35338"/>
    <w:rsid w:val="00A37EE9"/>
    <w:rsid w:val="00A40714"/>
    <w:rsid w:val="00A41099"/>
    <w:rsid w:val="00A419B9"/>
    <w:rsid w:val="00A43E0B"/>
    <w:rsid w:val="00A4421C"/>
    <w:rsid w:val="00A461AD"/>
    <w:rsid w:val="00A462CB"/>
    <w:rsid w:val="00A52AFC"/>
    <w:rsid w:val="00A544B0"/>
    <w:rsid w:val="00A5565E"/>
    <w:rsid w:val="00A55C9E"/>
    <w:rsid w:val="00A565DE"/>
    <w:rsid w:val="00A57555"/>
    <w:rsid w:val="00A6003C"/>
    <w:rsid w:val="00A62E4D"/>
    <w:rsid w:val="00A6452C"/>
    <w:rsid w:val="00A652A0"/>
    <w:rsid w:val="00A65B27"/>
    <w:rsid w:val="00A660FB"/>
    <w:rsid w:val="00A67BBA"/>
    <w:rsid w:val="00A67CA4"/>
    <w:rsid w:val="00A67DA4"/>
    <w:rsid w:val="00A704D8"/>
    <w:rsid w:val="00A7116A"/>
    <w:rsid w:val="00A719D0"/>
    <w:rsid w:val="00A71A6E"/>
    <w:rsid w:val="00A72E31"/>
    <w:rsid w:val="00A73163"/>
    <w:rsid w:val="00A733C8"/>
    <w:rsid w:val="00A73904"/>
    <w:rsid w:val="00A75011"/>
    <w:rsid w:val="00A75249"/>
    <w:rsid w:val="00A75AD9"/>
    <w:rsid w:val="00A8109E"/>
    <w:rsid w:val="00A8395B"/>
    <w:rsid w:val="00A83B38"/>
    <w:rsid w:val="00A84B99"/>
    <w:rsid w:val="00A85A5F"/>
    <w:rsid w:val="00A86A32"/>
    <w:rsid w:val="00A924E1"/>
    <w:rsid w:val="00A9449A"/>
    <w:rsid w:val="00A94AEC"/>
    <w:rsid w:val="00A95036"/>
    <w:rsid w:val="00A975D6"/>
    <w:rsid w:val="00AA0043"/>
    <w:rsid w:val="00AA0DB0"/>
    <w:rsid w:val="00AA1941"/>
    <w:rsid w:val="00AA2030"/>
    <w:rsid w:val="00AA35D8"/>
    <w:rsid w:val="00AA3AEA"/>
    <w:rsid w:val="00AA602F"/>
    <w:rsid w:val="00AC09DD"/>
    <w:rsid w:val="00AC12B8"/>
    <w:rsid w:val="00AC1878"/>
    <w:rsid w:val="00AC6E95"/>
    <w:rsid w:val="00AD161E"/>
    <w:rsid w:val="00AD1971"/>
    <w:rsid w:val="00AD19DF"/>
    <w:rsid w:val="00AD377B"/>
    <w:rsid w:val="00AD3981"/>
    <w:rsid w:val="00AD6D55"/>
    <w:rsid w:val="00AE053F"/>
    <w:rsid w:val="00AE1487"/>
    <w:rsid w:val="00AE20B0"/>
    <w:rsid w:val="00AE7234"/>
    <w:rsid w:val="00AE7D7C"/>
    <w:rsid w:val="00AF4E50"/>
    <w:rsid w:val="00AF7296"/>
    <w:rsid w:val="00B00CBC"/>
    <w:rsid w:val="00B02C53"/>
    <w:rsid w:val="00B03C89"/>
    <w:rsid w:val="00B11153"/>
    <w:rsid w:val="00B130B4"/>
    <w:rsid w:val="00B15BE7"/>
    <w:rsid w:val="00B1616A"/>
    <w:rsid w:val="00B16C10"/>
    <w:rsid w:val="00B242BC"/>
    <w:rsid w:val="00B27E45"/>
    <w:rsid w:val="00B35592"/>
    <w:rsid w:val="00B360F5"/>
    <w:rsid w:val="00B40F08"/>
    <w:rsid w:val="00B42931"/>
    <w:rsid w:val="00B45B4E"/>
    <w:rsid w:val="00B47852"/>
    <w:rsid w:val="00B50950"/>
    <w:rsid w:val="00B54922"/>
    <w:rsid w:val="00B56EC0"/>
    <w:rsid w:val="00B61235"/>
    <w:rsid w:val="00B61404"/>
    <w:rsid w:val="00B66241"/>
    <w:rsid w:val="00B66E39"/>
    <w:rsid w:val="00B7051A"/>
    <w:rsid w:val="00B70D65"/>
    <w:rsid w:val="00B7447F"/>
    <w:rsid w:val="00B74D5D"/>
    <w:rsid w:val="00B75E88"/>
    <w:rsid w:val="00B81DFF"/>
    <w:rsid w:val="00B83478"/>
    <w:rsid w:val="00B84514"/>
    <w:rsid w:val="00B858DB"/>
    <w:rsid w:val="00B85977"/>
    <w:rsid w:val="00B921D0"/>
    <w:rsid w:val="00B939F1"/>
    <w:rsid w:val="00B97794"/>
    <w:rsid w:val="00BA0191"/>
    <w:rsid w:val="00BA0249"/>
    <w:rsid w:val="00BA1942"/>
    <w:rsid w:val="00BA42A1"/>
    <w:rsid w:val="00BB1DE4"/>
    <w:rsid w:val="00BB3F11"/>
    <w:rsid w:val="00BB5069"/>
    <w:rsid w:val="00BB5E0F"/>
    <w:rsid w:val="00BB74F0"/>
    <w:rsid w:val="00BC0986"/>
    <w:rsid w:val="00BC4B5C"/>
    <w:rsid w:val="00BC4CF9"/>
    <w:rsid w:val="00BC5950"/>
    <w:rsid w:val="00BC7A27"/>
    <w:rsid w:val="00BD2597"/>
    <w:rsid w:val="00BD4777"/>
    <w:rsid w:val="00BE020C"/>
    <w:rsid w:val="00BE256F"/>
    <w:rsid w:val="00BE5A0E"/>
    <w:rsid w:val="00BF67AA"/>
    <w:rsid w:val="00BF7148"/>
    <w:rsid w:val="00BF7ADF"/>
    <w:rsid w:val="00C000DC"/>
    <w:rsid w:val="00C040A7"/>
    <w:rsid w:val="00C1064A"/>
    <w:rsid w:val="00C11F8D"/>
    <w:rsid w:val="00C130EB"/>
    <w:rsid w:val="00C155C5"/>
    <w:rsid w:val="00C166D7"/>
    <w:rsid w:val="00C21862"/>
    <w:rsid w:val="00C22B9C"/>
    <w:rsid w:val="00C24658"/>
    <w:rsid w:val="00C27245"/>
    <w:rsid w:val="00C27650"/>
    <w:rsid w:val="00C311BF"/>
    <w:rsid w:val="00C35329"/>
    <w:rsid w:val="00C363BD"/>
    <w:rsid w:val="00C36FC2"/>
    <w:rsid w:val="00C40B02"/>
    <w:rsid w:val="00C412EA"/>
    <w:rsid w:val="00C45D55"/>
    <w:rsid w:val="00C506F6"/>
    <w:rsid w:val="00C50772"/>
    <w:rsid w:val="00C523DB"/>
    <w:rsid w:val="00C5272A"/>
    <w:rsid w:val="00C53B75"/>
    <w:rsid w:val="00C54C77"/>
    <w:rsid w:val="00C568F4"/>
    <w:rsid w:val="00C6453D"/>
    <w:rsid w:val="00C70258"/>
    <w:rsid w:val="00C73194"/>
    <w:rsid w:val="00C73BC4"/>
    <w:rsid w:val="00C75E28"/>
    <w:rsid w:val="00C81316"/>
    <w:rsid w:val="00C8420F"/>
    <w:rsid w:val="00C845BA"/>
    <w:rsid w:val="00C877D0"/>
    <w:rsid w:val="00C9128A"/>
    <w:rsid w:val="00C92587"/>
    <w:rsid w:val="00C95687"/>
    <w:rsid w:val="00C96062"/>
    <w:rsid w:val="00C96EC5"/>
    <w:rsid w:val="00CA0B9B"/>
    <w:rsid w:val="00CA12B9"/>
    <w:rsid w:val="00CA7E25"/>
    <w:rsid w:val="00CB02DC"/>
    <w:rsid w:val="00CB29F7"/>
    <w:rsid w:val="00CB3912"/>
    <w:rsid w:val="00CB56FA"/>
    <w:rsid w:val="00CB72E1"/>
    <w:rsid w:val="00CC358B"/>
    <w:rsid w:val="00CC36CD"/>
    <w:rsid w:val="00CC396F"/>
    <w:rsid w:val="00CC41F2"/>
    <w:rsid w:val="00CC727D"/>
    <w:rsid w:val="00CD27F8"/>
    <w:rsid w:val="00CD4110"/>
    <w:rsid w:val="00CE171D"/>
    <w:rsid w:val="00CE3E0A"/>
    <w:rsid w:val="00CE3E9C"/>
    <w:rsid w:val="00CE46B3"/>
    <w:rsid w:val="00CE7526"/>
    <w:rsid w:val="00CF2923"/>
    <w:rsid w:val="00CF2F4B"/>
    <w:rsid w:val="00CF395E"/>
    <w:rsid w:val="00CF3D05"/>
    <w:rsid w:val="00D0260A"/>
    <w:rsid w:val="00D033E0"/>
    <w:rsid w:val="00D036D3"/>
    <w:rsid w:val="00D0776C"/>
    <w:rsid w:val="00D077DA"/>
    <w:rsid w:val="00D07B0B"/>
    <w:rsid w:val="00D13058"/>
    <w:rsid w:val="00D20D41"/>
    <w:rsid w:val="00D20DBE"/>
    <w:rsid w:val="00D2530C"/>
    <w:rsid w:val="00D27DD6"/>
    <w:rsid w:val="00D31E29"/>
    <w:rsid w:val="00D33422"/>
    <w:rsid w:val="00D36FF7"/>
    <w:rsid w:val="00D41133"/>
    <w:rsid w:val="00D43106"/>
    <w:rsid w:val="00D444B5"/>
    <w:rsid w:val="00D44C6A"/>
    <w:rsid w:val="00D505E7"/>
    <w:rsid w:val="00D5360E"/>
    <w:rsid w:val="00D56BED"/>
    <w:rsid w:val="00D575C7"/>
    <w:rsid w:val="00D61833"/>
    <w:rsid w:val="00D63DF5"/>
    <w:rsid w:val="00D66BAD"/>
    <w:rsid w:val="00D67B7F"/>
    <w:rsid w:val="00D72A32"/>
    <w:rsid w:val="00D750FE"/>
    <w:rsid w:val="00D804E1"/>
    <w:rsid w:val="00D80B34"/>
    <w:rsid w:val="00D81183"/>
    <w:rsid w:val="00D86E76"/>
    <w:rsid w:val="00D87E99"/>
    <w:rsid w:val="00D910B1"/>
    <w:rsid w:val="00D91EAC"/>
    <w:rsid w:val="00D927D8"/>
    <w:rsid w:val="00D94702"/>
    <w:rsid w:val="00D950DD"/>
    <w:rsid w:val="00DA03D6"/>
    <w:rsid w:val="00DA04D3"/>
    <w:rsid w:val="00DA2DA1"/>
    <w:rsid w:val="00DA593A"/>
    <w:rsid w:val="00DA5C07"/>
    <w:rsid w:val="00DA64BD"/>
    <w:rsid w:val="00DB0D32"/>
    <w:rsid w:val="00DB24B2"/>
    <w:rsid w:val="00DB3ACF"/>
    <w:rsid w:val="00DB6276"/>
    <w:rsid w:val="00DC2F51"/>
    <w:rsid w:val="00DC3D39"/>
    <w:rsid w:val="00DC5BB7"/>
    <w:rsid w:val="00DD3AD3"/>
    <w:rsid w:val="00DD75B2"/>
    <w:rsid w:val="00DE0D45"/>
    <w:rsid w:val="00DE2089"/>
    <w:rsid w:val="00DE2123"/>
    <w:rsid w:val="00DE224C"/>
    <w:rsid w:val="00DE39B8"/>
    <w:rsid w:val="00DE6957"/>
    <w:rsid w:val="00DE6962"/>
    <w:rsid w:val="00DE7324"/>
    <w:rsid w:val="00DE7DAD"/>
    <w:rsid w:val="00DF1C26"/>
    <w:rsid w:val="00DF1CBE"/>
    <w:rsid w:val="00DF5362"/>
    <w:rsid w:val="00DF6821"/>
    <w:rsid w:val="00E00D86"/>
    <w:rsid w:val="00E01050"/>
    <w:rsid w:val="00E01117"/>
    <w:rsid w:val="00E03246"/>
    <w:rsid w:val="00E047EB"/>
    <w:rsid w:val="00E04A2B"/>
    <w:rsid w:val="00E11932"/>
    <w:rsid w:val="00E13235"/>
    <w:rsid w:val="00E13F4B"/>
    <w:rsid w:val="00E20462"/>
    <w:rsid w:val="00E2157E"/>
    <w:rsid w:val="00E22372"/>
    <w:rsid w:val="00E30FC3"/>
    <w:rsid w:val="00E3144B"/>
    <w:rsid w:val="00E32074"/>
    <w:rsid w:val="00E32195"/>
    <w:rsid w:val="00E3222E"/>
    <w:rsid w:val="00E32FFB"/>
    <w:rsid w:val="00E3303B"/>
    <w:rsid w:val="00E335D5"/>
    <w:rsid w:val="00E33827"/>
    <w:rsid w:val="00E43141"/>
    <w:rsid w:val="00E44D56"/>
    <w:rsid w:val="00E46124"/>
    <w:rsid w:val="00E469DA"/>
    <w:rsid w:val="00E503CC"/>
    <w:rsid w:val="00E53949"/>
    <w:rsid w:val="00E563AE"/>
    <w:rsid w:val="00E5685B"/>
    <w:rsid w:val="00E62B77"/>
    <w:rsid w:val="00E6539C"/>
    <w:rsid w:val="00E65458"/>
    <w:rsid w:val="00E71245"/>
    <w:rsid w:val="00E72028"/>
    <w:rsid w:val="00E7563D"/>
    <w:rsid w:val="00E75982"/>
    <w:rsid w:val="00E8077A"/>
    <w:rsid w:val="00E8253C"/>
    <w:rsid w:val="00E84813"/>
    <w:rsid w:val="00E8553F"/>
    <w:rsid w:val="00E92C14"/>
    <w:rsid w:val="00E93C12"/>
    <w:rsid w:val="00E95338"/>
    <w:rsid w:val="00E96422"/>
    <w:rsid w:val="00EA1346"/>
    <w:rsid w:val="00EA3AA5"/>
    <w:rsid w:val="00EA3DAE"/>
    <w:rsid w:val="00EA5286"/>
    <w:rsid w:val="00EA5CC6"/>
    <w:rsid w:val="00EB0126"/>
    <w:rsid w:val="00EB2655"/>
    <w:rsid w:val="00EB2996"/>
    <w:rsid w:val="00EB3A0E"/>
    <w:rsid w:val="00EB3B86"/>
    <w:rsid w:val="00EB52DD"/>
    <w:rsid w:val="00EB5CFA"/>
    <w:rsid w:val="00EC1199"/>
    <w:rsid w:val="00EC1BBB"/>
    <w:rsid w:val="00EC38B1"/>
    <w:rsid w:val="00EC3F64"/>
    <w:rsid w:val="00EC4322"/>
    <w:rsid w:val="00EC4EA4"/>
    <w:rsid w:val="00EC5E8B"/>
    <w:rsid w:val="00EC632C"/>
    <w:rsid w:val="00EC679E"/>
    <w:rsid w:val="00EC7690"/>
    <w:rsid w:val="00ED252F"/>
    <w:rsid w:val="00ED2B2E"/>
    <w:rsid w:val="00ED2FB3"/>
    <w:rsid w:val="00ED4371"/>
    <w:rsid w:val="00ED4B1A"/>
    <w:rsid w:val="00ED66D0"/>
    <w:rsid w:val="00ED7A35"/>
    <w:rsid w:val="00ED7AED"/>
    <w:rsid w:val="00EE5C08"/>
    <w:rsid w:val="00EF0F28"/>
    <w:rsid w:val="00EF5612"/>
    <w:rsid w:val="00F00207"/>
    <w:rsid w:val="00F0084F"/>
    <w:rsid w:val="00F00F03"/>
    <w:rsid w:val="00F03EBE"/>
    <w:rsid w:val="00F04C33"/>
    <w:rsid w:val="00F06AE1"/>
    <w:rsid w:val="00F07C41"/>
    <w:rsid w:val="00F07E3C"/>
    <w:rsid w:val="00F10D05"/>
    <w:rsid w:val="00F12BAF"/>
    <w:rsid w:val="00F131EF"/>
    <w:rsid w:val="00F1495B"/>
    <w:rsid w:val="00F1719B"/>
    <w:rsid w:val="00F171CB"/>
    <w:rsid w:val="00F229C0"/>
    <w:rsid w:val="00F24613"/>
    <w:rsid w:val="00F25230"/>
    <w:rsid w:val="00F26267"/>
    <w:rsid w:val="00F32809"/>
    <w:rsid w:val="00F33A9D"/>
    <w:rsid w:val="00F4053F"/>
    <w:rsid w:val="00F41E46"/>
    <w:rsid w:val="00F42646"/>
    <w:rsid w:val="00F4272E"/>
    <w:rsid w:val="00F42FF1"/>
    <w:rsid w:val="00F430C0"/>
    <w:rsid w:val="00F4540A"/>
    <w:rsid w:val="00F46379"/>
    <w:rsid w:val="00F526A9"/>
    <w:rsid w:val="00F53096"/>
    <w:rsid w:val="00F553F4"/>
    <w:rsid w:val="00F55E70"/>
    <w:rsid w:val="00F606B6"/>
    <w:rsid w:val="00F67DC5"/>
    <w:rsid w:val="00F707F0"/>
    <w:rsid w:val="00F70BC5"/>
    <w:rsid w:val="00F72E99"/>
    <w:rsid w:val="00F7339A"/>
    <w:rsid w:val="00F73403"/>
    <w:rsid w:val="00F7582D"/>
    <w:rsid w:val="00F8153F"/>
    <w:rsid w:val="00F83D6F"/>
    <w:rsid w:val="00F9114F"/>
    <w:rsid w:val="00F917D0"/>
    <w:rsid w:val="00F96BF8"/>
    <w:rsid w:val="00FA4ED5"/>
    <w:rsid w:val="00FA573A"/>
    <w:rsid w:val="00FA7104"/>
    <w:rsid w:val="00FB2486"/>
    <w:rsid w:val="00FB2718"/>
    <w:rsid w:val="00FB340E"/>
    <w:rsid w:val="00FB4F5C"/>
    <w:rsid w:val="00FB5292"/>
    <w:rsid w:val="00FB54C5"/>
    <w:rsid w:val="00FB5C04"/>
    <w:rsid w:val="00FB5D4F"/>
    <w:rsid w:val="00FB7FC4"/>
    <w:rsid w:val="00FC0609"/>
    <w:rsid w:val="00FC277A"/>
    <w:rsid w:val="00FC70E0"/>
    <w:rsid w:val="00FC758C"/>
    <w:rsid w:val="00FD07BB"/>
    <w:rsid w:val="00FD09B7"/>
    <w:rsid w:val="00FD358E"/>
    <w:rsid w:val="00FD36E3"/>
    <w:rsid w:val="00FD3B1D"/>
    <w:rsid w:val="00FD3CCA"/>
    <w:rsid w:val="00FD503E"/>
    <w:rsid w:val="00FD51F1"/>
    <w:rsid w:val="00FD568E"/>
    <w:rsid w:val="00FD5E52"/>
    <w:rsid w:val="00FD6532"/>
    <w:rsid w:val="00FE0C23"/>
    <w:rsid w:val="00FE2973"/>
    <w:rsid w:val="00FE4D4F"/>
    <w:rsid w:val="00FE5191"/>
    <w:rsid w:val="00FE63B7"/>
    <w:rsid w:val="00FE673B"/>
    <w:rsid w:val="00FE6853"/>
    <w:rsid w:val="00FF7128"/>
    <w:rsid w:val="00FF7D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FCF61"/>
  <w15:docId w15:val="{19A69EA9-691B-4460-8E54-366C7AA6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141AFB"/>
    <w:pPr>
      <w:numPr>
        <w:numId w:val="1"/>
      </w:numPr>
      <w:jc w:val="both"/>
      <w:outlineLvl w:val="0"/>
    </w:pPr>
    <w:rPr>
      <w:rFonts w:cstheme="minorHAnsi"/>
      <w:b/>
      <w:sz w:val="28"/>
    </w:rPr>
  </w:style>
  <w:style w:type="paragraph" w:styleId="Heading2">
    <w:name w:val="heading 2"/>
    <w:basedOn w:val="Normal"/>
    <w:next w:val="Normal"/>
    <w:link w:val="Heading2Char"/>
    <w:uiPriority w:val="9"/>
    <w:unhideWhenUsed/>
    <w:qFormat/>
    <w:rsid w:val="00141AFB"/>
    <w:pPr>
      <w:spacing w:after="120"/>
      <w:jc w:val="both"/>
      <w:outlineLvl w:val="1"/>
    </w:pPr>
    <w:rPr>
      <w:rFonts w:cstheme="minorHAnsi"/>
      <w:b/>
    </w:rPr>
  </w:style>
  <w:style w:type="paragraph" w:styleId="Heading3">
    <w:name w:val="heading 3"/>
    <w:basedOn w:val="Normal"/>
    <w:next w:val="Normal"/>
    <w:link w:val="Heading3Char"/>
    <w:uiPriority w:val="9"/>
    <w:semiHidden/>
    <w:unhideWhenUsed/>
    <w:qFormat/>
    <w:rsid w:val="0037251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45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5118"/>
    <w:pPr>
      <w:ind w:left="720"/>
    </w:pPr>
  </w:style>
  <w:style w:type="character" w:customStyle="1" w:styleId="ListParagraphChar">
    <w:name w:val="List Paragraph Char"/>
    <w:basedOn w:val="DefaultParagraphFont"/>
    <w:link w:val="ListParagraph"/>
    <w:uiPriority w:val="34"/>
    <w:rsid w:val="00E71245"/>
  </w:style>
  <w:style w:type="character" w:customStyle="1" w:styleId="Heading1Char">
    <w:name w:val="Heading 1 Char"/>
    <w:basedOn w:val="DefaultParagraphFont"/>
    <w:link w:val="Heading1"/>
    <w:uiPriority w:val="9"/>
    <w:rsid w:val="00141AFB"/>
    <w:rPr>
      <w:rFonts w:cstheme="minorHAnsi"/>
      <w:b/>
      <w:sz w:val="28"/>
    </w:rPr>
  </w:style>
  <w:style w:type="character" w:customStyle="1" w:styleId="Heading2Char">
    <w:name w:val="Heading 2 Char"/>
    <w:basedOn w:val="DefaultParagraphFont"/>
    <w:link w:val="Heading2"/>
    <w:uiPriority w:val="9"/>
    <w:rsid w:val="00141AFB"/>
    <w:rPr>
      <w:rFonts w:cstheme="minorHAnsi"/>
      <w:b/>
    </w:rPr>
  </w:style>
  <w:style w:type="paragraph" w:styleId="FootnoteText">
    <w:name w:val="footnote text"/>
    <w:basedOn w:val="Normal"/>
    <w:link w:val="FootnoteTextChar"/>
    <w:uiPriority w:val="99"/>
    <w:unhideWhenUsed/>
    <w:rsid w:val="00C8420F"/>
    <w:pPr>
      <w:spacing w:after="0" w:line="240" w:lineRule="auto"/>
    </w:pPr>
    <w:rPr>
      <w:sz w:val="20"/>
      <w:szCs w:val="20"/>
    </w:rPr>
  </w:style>
  <w:style w:type="character" w:customStyle="1" w:styleId="FootnoteTextChar">
    <w:name w:val="Footnote Text Char"/>
    <w:basedOn w:val="DefaultParagraphFont"/>
    <w:link w:val="FootnoteText"/>
    <w:uiPriority w:val="99"/>
    <w:rsid w:val="00C8420F"/>
    <w:rPr>
      <w:sz w:val="20"/>
      <w:szCs w:val="20"/>
    </w:rPr>
  </w:style>
  <w:style w:type="character" w:styleId="FootnoteReference">
    <w:name w:val="footnote reference"/>
    <w:basedOn w:val="DefaultParagraphFont"/>
    <w:unhideWhenUsed/>
    <w:rsid w:val="00C8420F"/>
    <w:rPr>
      <w:vertAlign w:val="superscript"/>
    </w:rPr>
  </w:style>
  <w:style w:type="table" w:styleId="TableGrid">
    <w:name w:val="Table Grid"/>
    <w:basedOn w:val="TableNormal"/>
    <w:uiPriority w:val="59"/>
    <w:rsid w:val="00842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72"/>
    <w:rsid w:val="008421B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
    <w:name w:val="Colorful List"/>
    <w:basedOn w:val="TableNormal"/>
    <w:uiPriority w:val="72"/>
    <w:rsid w:val="005E739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8C0D8B"/>
    <w:rPr>
      <w:color w:val="0000FF" w:themeColor="hyperlink"/>
      <w:u w:val="single"/>
    </w:rPr>
  </w:style>
  <w:style w:type="paragraph" w:styleId="Header">
    <w:name w:val="header"/>
    <w:basedOn w:val="Normal"/>
    <w:link w:val="HeaderChar"/>
    <w:uiPriority w:val="99"/>
    <w:unhideWhenUsed/>
    <w:rsid w:val="001A2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231"/>
  </w:style>
  <w:style w:type="paragraph" w:styleId="Footer">
    <w:name w:val="footer"/>
    <w:basedOn w:val="Normal"/>
    <w:link w:val="FooterChar"/>
    <w:uiPriority w:val="99"/>
    <w:unhideWhenUsed/>
    <w:rsid w:val="001A2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231"/>
  </w:style>
  <w:style w:type="paragraph" w:customStyle="1" w:styleId="FootnoteReference1">
    <w:name w:val="Footnote Reference1"/>
    <w:basedOn w:val="ListParagraph"/>
    <w:link w:val="FootnotereferenceChar"/>
    <w:qFormat/>
    <w:rsid w:val="00E71245"/>
    <w:pPr>
      <w:ind w:left="0"/>
      <w:jc w:val="both"/>
    </w:pPr>
    <w:rPr>
      <w:vertAlign w:val="superscript"/>
    </w:rPr>
  </w:style>
  <w:style w:type="character" w:customStyle="1" w:styleId="FootnotereferenceChar">
    <w:name w:val="Footnote reference Char"/>
    <w:basedOn w:val="ListParagraphChar"/>
    <w:link w:val="FootnoteReference1"/>
    <w:rsid w:val="00E71245"/>
    <w:rPr>
      <w:vertAlign w:val="superscript"/>
    </w:rPr>
  </w:style>
  <w:style w:type="paragraph" w:styleId="TOCHeading">
    <w:name w:val="TOC Heading"/>
    <w:basedOn w:val="Heading1"/>
    <w:next w:val="Normal"/>
    <w:uiPriority w:val="39"/>
    <w:unhideWhenUsed/>
    <w:qFormat/>
    <w:rsid w:val="00141AFB"/>
    <w:pPr>
      <w:keepNext/>
      <w:keepLines/>
      <w:numPr>
        <w:numId w:val="0"/>
      </w:numPr>
      <w:spacing w:before="480" w:after="0"/>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TOC1">
    <w:name w:val="toc 1"/>
    <w:basedOn w:val="Normal"/>
    <w:next w:val="Normal"/>
    <w:autoRedefine/>
    <w:uiPriority w:val="39"/>
    <w:unhideWhenUsed/>
    <w:rsid w:val="00712057"/>
    <w:pPr>
      <w:tabs>
        <w:tab w:val="left" w:pos="440"/>
        <w:tab w:val="right" w:leader="dot" w:pos="9072"/>
      </w:tabs>
      <w:spacing w:after="100"/>
    </w:pPr>
    <w:rPr>
      <w:noProof/>
    </w:rPr>
  </w:style>
  <w:style w:type="paragraph" w:styleId="TOC2">
    <w:name w:val="toc 2"/>
    <w:basedOn w:val="Normal"/>
    <w:next w:val="Normal"/>
    <w:autoRedefine/>
    <w:uiPriority w:val="39"/>
    <w:unhideWhenUsed/>
    <w:rsid w:val="00712057"/>
    <w:pPr>
      <w:tabs>
        <w:tab w:val="left" w:pos="450"/>
        <w:tab w:val="left" w:pos="880"/>
        <w:tab w:val="right" w:leader="dot" w:pos="9072"/>
      </w:tabs>
      <w:spacing w:after="100"/>
      <w:ind w:left="1100" w:hanging="674"/>
    </w:pPr>
  </w:style>
  <w:style w:type="paragraph" w:styleId="BalloonText">
    <w:name w:val="Balloon Text"/>
    <w:basedOn w:val="Normal"/>
    <w:link w:val="BalloonTextChar"/>
    <w:uiPriority w:val="99"/>
    <w:semiHidden/>
    <w:unhideWhenUsed/>
    <w:rsid w:val="00141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AFB"/>
    <w:rPr>
      <w:rFonts w:ascii="Tahoma" w:hAnsi="Tahoma" w:cs="Tahoma"/>
      <w:sz w:val="16"/>
      <w:szCs w:val="16"/>
    </w:rPr>
  </w:style>
  <w:style w:type="character" w:styleId="CommentReference">
    <w:name w:val="annotation reference"/>
    <w:basedOn w:val="DefaultParagraphFont"/>
    <w:uiPriority w:val="99"/>
    <w:semiHidden/>
    <w:unhideWhenUsed/>
    <w:rsid w:val="002648C5"/>
    <w:rPr>
      <w:sz w:val="16"/>
      <w:szCs w:val="16"/>
    </w:rPr>
  </w:style>
  <w:style w:type="paragraph" w:styleId="CommentText">
    <w:name w:val="annotation text"/>
    <w:basedOn w:val="Normal"/>
    <w:link w:val="CommentTextChar"/>
    <w:uiPriority w:val="99"/>
    <w:semiHidden/>
    <w:unhideWhenUsed/>
    <w:rsid w:val="002648C5"/>
    <w:pPr>
      <w:spacing w:line="240" w:lineRule="auto"/>
    </w:pPr>
    <w:rPr>
      <w:sz w:val="20"/>
      <w:szCs w:val="20"/>
    </w:rPr>
  </w:style>
  <w:style w:type="character" w:customStyle="1" w:styleId="CommentTextChar">
    <w:name w:val="Comment Text Char"/>
    <w:basedOn w:val="DefaultParagraphFont"/>
    <w:link w:val="CommentText"/>
    <w:uiPriority w:val="99"/>
    <w:semiHidden/>
    <w:rsid w:val="002648C5"/>
    <w:rPr>
      <w:sz w:val="20"/>
      <w:szCs w:val="20"/>
    </w:rPr>
  </w:style>
  <w:style w:type="paragraph" w:styleId="CommentSubject">
    <w:name w:val="annotation subject"/>
    <w:basedOn w:val="CommentText"/>
    <w:next w:val="CommentText"/>
    <w:link w:val="CommentSubjectChar"/>
    <w:uiPriority w:val="99"/>
    <w:semiHidden/>
    <w:unhideWhenUsed/>
    <w:rsid w:val="002648C5"/>
    <w:rPr>
      <w:b/>
      <w:bCs/>
    </w:rPr>
  </w:style>
  <w:style w:type="character" w:customStyle="1" w:styleId="CommentSubjectChar">
    <w:name w:val="Comment Subject Char"/>
    <w:basedOn w:val="CommentTextChar"/>
    <w:link w:val="CommentSubject"/>
    <w:uiPriority w:val="99"/>
    <w:semiHidden/>
    <w:rsid w:val="002648C5"/>
    <w:rPr>
      <w:b/>
      <w:bCs/>
      <w:sz w:val="20"/>
      <w:szCs w:val="20"/>
    </w:rPr>
  </w:style>
  <w:style w:type="table" w:styleId="LightShading-Accent3">
    <w:name w:val="Light Shading Accent 3"/>
    <w:basedOn w:val="TableNormal"/>
    <w:uiPriority w:val="60"/>
    <w:rsid w:val="0065481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
    <w:name w:val="Light List"/>
    <w:basedOn w:val="TableNormal"/>
    <w:uiPriority w:val="61"/>
    <w:rsid w:val="0065481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5481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65481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semiHidden/>
    <w:rsid w:val="005845B4"/>
    <w:rPr>
      <w:rFonts w:asciiTheme="majorHAnsi" w:eastAsiaTheme="majorEastAsia" w:hAnsiTheme="majorHAnsi" w:cstheme="majorBidi"/>
      <w:b/>
      <w:bCs/>
      <w:i/>
      <w:iCs/>
      <w:color w:val="4F81BD" w:themeColor="accent1"/>
    </w:rPr>
  </w:style>
  <w:style w:type="character" w:styleId="PageNumber">
    <w:name w:val="page number"/>
    <w:basedOn w:val="DefaultParagraphFont"/>
    <w:rsid w:val="005845B4"/>
  </w:style>
  <w:style w:type="character" w:customStyle="1" w:styleId="Heading3Char">
    <w:name w:val="Heading 3 Char"/>
    <w:basedOn w:val="DefaultParagraphFont"/>
    <w:link w:val="Heading3"/>
    <w:uiPriority w:val="9"/>
    <w:semiHidden/>
    <w:rsid w:val="0037251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37251C"/>
    <w:pPr>
      <w:spacing w:after="100"/>
      <w:ind w:left="440"/>
    </w:pPr>
  </w:style>
  <w:style w:type="paragraph" w:styleId="Revision">
    <w:name w:val="Revision"/>
    <w:hidden/>
    <w:uiPriority w:val="99"/>
    <w:semiHidden/>
    <w:rsid w:val="003302F3"/>
    <w:pPr>
      <w:spacing w:after="0" w:line="240" w:lineRule="auto"/>
    </w:pPr>
  </w:style>
  <w:style w:type="table" w:customStyle="1" w:styleId="LightList1">
    <w:name w:val="Light List1"/>
    <w:basedOn w:val="TableNormal"/>
    <w:next w:val="LightList"/>
    <w:uiPriority w:val="61"/>
    <w:rsid w:val="00D804E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ColorfulList1">
    <w:name w:val="Colorful List1"/>
    <w:basedOn w:val="TableNormal"/>
    <w:next w:val="ColorfulList"/>
    <w:uiPriority w:val="72"/>
    <w:rsid w:val="00DA64B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AC6E95"/>
    <w:rPr>
      <w:color w:val="800080"/>
      <w:u w:val="single"/>
    </w:rPr>
  </w:style>
  <w:style w:type="paragraph" w:customStyle="1" w:styleId="xl67">
    <w:name w:val="xl67"/>
    <w:basedOn w:val="Normal"/>
    <w:rsid w:val="00AC6E95"/>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pPr>
    <w:rPr>
      <w:rFonts w:ascii="Arial Narrow" w:eastAsia="Times New Roman" w:hAnsi="Arial Narrow" w:cs="Times New Roman"/>
      <w:b/>
      <w:bCs/>
      <w:sz w:val="24"/>
      <w:szCs w:val="24"/>
      <w:lang w:val="en-US"/>
    </w:rPr>
  </w:style>
  <w:style w:type="paragraph" w:customStyle="1" w:styleId="xl68">
    <w:name w:val="xl68"/>
    <w:basedOn w:val="Normal"/>
    <w:rsid w:val="00AC6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xl69">
    <w:name w:val="xl69"/>
    <w:basedOn w:val="Normal"/>
    <w:rsid w:val="00AC6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xl70">
    <w:name w:val="xl70"/>
    <w:basedOn w:val="Normal"/>
    <w:rsid w:val="00AC6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FFFFFF"/>
      <w:sz w:val="20"/>
      <w:szCs w:val="20"/>
      <w:lang w:val="en-US"/>
    </w:rPr>
  </w:style>
  <w:style w:type="paragraph" w:customStyle="1" w:styleId="xl71">
    <w:name w:val="xl71"/>
    <w:basedOn w:val="Normal"/>
    <w:rsid w:val="00AC6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Normal"/>
    <w:rsid w:val="00AC6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xl73">
    <w:name w:val="xl73"/>
    <w:basedOn w:val="Normal"/>
    <w:rsid w:val="00AC6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4">
    <w:name w:val="xl74"/>
    <w:basedOn w:val="Normal"/>
    <w:rsid w:val="00AC6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xl75">
    <w:name w:val="xl75"/>
    <w:basedOn w:val="Normal"/>
    <w:rsid w:val="00AC6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xl76">
    <w:name w:val="xl76"/>
    <w:basedOn w:val="Normal"/>
    <w:rsid w:val="00AC6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7">
    <w:name w:val="xl77"/>
    <w:basedOn w:val="Normal"/>
    <w:rsid w:val="00AC6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n-US"/>
    </w:rPr>
  </w:style>
  <w:style w:type="paragraph" w:customStyle="1" w:styleId="xl78">
    <w:name w:val="xl78"/>
    <w:basedOn w:val="Normal"/>
    <w:rsid w:val="00AC6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n-US"/>
    </w:rPr>
  </w:style>
  <w:style w:type="paragraph" w:customStyle="1" w:styleId="xl79">
    <w:name w:val="xl79"/>
    <w:basedOn w:val="Normal"/>
    <w:rsid w:val="00AC6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val="en-US"/>
    </w:rPr>
  </w:style>
  <w:style w:type="paragraph" w:styleId="EndnoteText">
    <w:name w:val="endnote text"/>
    <w:basedOn w:val="Normal"/>
    <w:link w:val="EndnoteTextChar"/>
    <w:uiPriority w:val="99"/>
    <w:semiHidden/>
    <w:unhideWhenUsed/>
    <w:rsid w:val="00EB01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0126"/>
    <w:rPr>
      <w:sz w:val="20"/>
      <w:szCs w:val="20"/>
    </w:rPr>
  </w:style>
  <w:style w:type="character" w:styleId="EndnoteReference">
    <w:name w:val="endnote reference"/>
    <w:basedOn w:val="DefaultParagraphFont"/>
    <w:uiPriority w:val="99"/>
    <w:semiHidden/>
    <w:unhideWhenUsed/>
    <w:rsid w:val="00EB0126"/>
    <w:rPr>
      <w:vertAlign w:val="superscript"/>
    </w:rPr>
  </w:style>
  <w:style w:type="paragraph" w:styleId="NoSpacing">
    <w:name w:val="No Spacing"/>
    <w:uiPriority w:val="1"/>
    <w:qFormat/>
    <w:rsid w:val="00E32074"/>
    <w:pPr>
      <w:spacing w:after="0" w:line="240" w:lineRule="auto"/>
    </w:pPr>
  </w:style>
  <w:style w:type="character" w:styleId="Emphasis">
    <w:name w:val="Emphasis"/>
    <w:basedOn w:val="DefaultParagraphFont"/>
    <w:uiPriority w:val="20"/>
    <w:qFormat/>
    <w:rsid w:val="005C12F2"/>
    <w:rPr>
      <w:i/>
      <w:iCs/>
    </w:rPr>
  </w:style>
  <w:style w:type="table" w:styleId="GridTable1Light-Accent1">
    <w:name w:val="Grid Table 1 Light Accent 1"/>
    <w:basedOn w:val="TableNormal"/>
    <w:uiPriority w:val="46"/>
    <w:rsid w:val="005C12F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6956">
      <w:bodyDiv w:val="1"/>
      <w:marLeft w:val="0"/>
      <w:marRight w:val="0"/>
      <w:marTop w:val="0"/>
      <w:marBottom w:val="0"/>
      <w:divBdr>
        <w:top w:val="none" w:sz="0" w:space="0" w:color="auto"/>
        <w:left w:val="none" w:sz="0" w:space="0" w:color="auto"/>
        <w:bottom w:val="none" w:sz="0" w:space="0" w:color="auto"/>
        <w:right w:val="none" w:sz="0" w:space="0" w:color="auto"/>
      </w:divBdr>
    </w:div>
    <w:div w:id="101152110">
      <w:bodyDiv w:val="1"/>
      <w:marLeft w:val="0"/>
      <w:marRight w:val="0"/>
      <w:marTop w:val="0"/>
      <w:marBottom w:val="0"/>
      <w:divBdr>
        <w:top w:val="none" w:sz="0" w:space="0" w:color="auto"/>
        <w:left w:val="none" w:sz="0" w:space="0" w:color="auto"/>
        <w:bottom w:val="none" w:sz="0" w:space="0" w:color="auto"/>
        <w:right w:val="none" w:sz="0" w:space="0" w:color="auto"/>
      </w:divBdr>
    </w:div>
    <w:div w:id="331225527">
      <w:bodyDiv w:val="1"/>
      <w:marLeft w:val="0"/>
      <w:marRight w:val="0"/>
      <w:marTop w:val="0"/>
      <w:marBottom w:val="0"/>
      <w:divBdr>
        <w:top w:val="none" w:sz="0" w:space="0" w:color="auto"/>
        <w:left w:val="none" w:sz="0" w:space="0" w:color="auto"/>
        <w:bottom w:val="none" w:sz="0" w:space="0" w:color="auto"/>
        <w:right w:val="none" w:sz="0" w:space="0" w:color="auto"/>
      </w:divBdr>
    </w:div>
    <w:div w:id="386225406">
      <w:bodyDiv w:val="1"/>
      <w:marLeft w:val="0"/>
      <w:marRight w:val="0"/>
      <w:marTop w:val="0"/>
      <w:marBottom w:val="0"/>
      <w:divBdr>
        <w:top w:val="none" w:sz="0" w:space="0" w:color="auto"/>
        <w:left w:val="none" w:sz="0" w:space="0" w:color="auto"/>
        <w:bottom w:val="none" w:sz="0" w:space="0" w:color="auto"/>
        <w:right w:val="none" w:sz="0" w:space="0" w:color="auto"/>
      </w:divBdr>
    </w:div>
    <w:div w:id="564413474">
      <w:bodyDiv w:val="1"/>
      <w:marLeft w:val="0"/>
      <w:marRight w:val="0"/>
      <w:marTop w:val="0"/>
      <w:marBottom w:val="0"/>
      <w:divBdr>
        <w:top w:val="none" w:sz="0" w:space="0" w:color="auto"/>
        <w:left w:val="none" w:sz="0" w:space="0" w:color="auto"/>
        <w:bottom w:val="none" w:sz="0" w:space="0" w:color="auto"/>
        <w:right w:val="none" w:sz="0" w:space="0" w:color="auto"/>
      </w:divBdr>
    </w:div>
    <w:div w:id="783036969">
      <w:bodyDiv w:val="1"/>
      <w:marLeft w:val="0"/>
      <w:marRight w:val="0"/>
      <w:marTop w:val="0"/>
      <w:marBottom w:val="0"/>
      <w:divBdr>
        <w:top w:val="none" w:sz="0" w:space="0" w:color="auto"/>
        <w:left w:val="none" w:sz="0" w:space="0" w:color="auto"/>
        <w:bottom w:val="none" w:sz="0" w:space="0" w:color="auto"/>
        <w:right w:val="none" w:sz="0" w:space="0" w:color="auto"/>
      </w:divBdr>
    </w:div>
    <w:div w:id="1059285218">
      <w:bodyDiv w:val="1"/>
      <w:marLeft w:val="0"/>
      <w:marRight w:val="0"/>
      <w:marTop w:val="0"/>
      <w:marBottom w:val="0"/>
      <w:divBdr>
        <w:top w:val="none" w:sz="0" w:space="0" w:color="auto"/>
        <w:left w:val="none" w:sz="0" w:space="0" w:color="auto"/>
        <w:bottom w:val="none" w:sz="0" w:space="0" w:color="auto"/>
        <w:right w:val="none" w:sz="0" w:space="0" w:color="auto"/>
      </w:divBdr>
    </w:div>
    <w:div w:id="1309632157">
      <w:bodyDiv w:val="1"/>
      <w:marLeft w:val="0"/>
      <w:marRight w:val="0"/>
      <w:marTop w:val="0"/>
      <w:marBottom w:val="0"/>
      <w:divBdr>
        <w:top w:val="none" w:sz="0" w:space="0" w:color="auto"/>
        <w:left w:val="none" w:sz="0" w:space="0" w:color="auto"/>
        <w:bottom w:val="none" w:sz="0" w:space="0" w:color="auto"/>
        <w:right w:val="none" w:sz="0" w:space="0" w:color="auto"/>
      </w:divBdr>
    </w:div>
    <w:div w:id="1401559730">
      <w:bodyDiv w:val="1"/>
      <w:marLeft w:val="0"/>
      <w:marRight w:val="0"/>
      <w:marTop w:val="0"/>
      <w:marBottom w:val="0"/>
      <w:divBdr>
        <w:top w:val="none" w:sz="0" w:space="0" w:color="auto"/>
        <w:left w:val="none" w:sz="0" w:space="0" w:color="auto"/>
        <w:bottom w:val="none" w:sz="0" w:space="0" w:color="auto"/>
        <w:right w:val="none" w:sz="0" w:space="0" w:color="auto"/>
      </w:divBdr>
    </w:div>
    <w:div w:id="1450398305">
      <w:bodyDiv w:val="1"/>
      <w:marLeft w:val="0"/>
      <w:marRight w:val="0"/>
      <w:marTop w:val="0"/>
      <w:marBottom w:val="0"/>
      <w:divBdr>
        <w:top w:val="none" w:sz="0" w:space="0" w:color="auto"/>
        <w:left w:val="none" w:sz="0" w:space="0" w:color="auto"/>
        <w:bottom w:val="none" w:sz="0" w:space="0" w:color="auto"/>
        <w:right w:val="none" w:sz="0" w:space="0" w:color="auto"/>
      </w:divBdr>
    </w:div>
    <w:div w:id="1501920593">
      <w:bodyDiv w:val="1"/>
      <w:marLeft w:val="0"/>
      <w:marRight w:val="0"/>
      <w:marTop w:val="0"/>
      <w:marBottom w:val="0"/>
      <w:divBdr>
        <w:top w:val="none" w:sz="0" w:space="0" w:color="auto"/>
        <w:left w:val="none" w:sz="0" w:space="0" w:color="auto"/>
        <w:bottom w:val="none" w:sz="0" w:space="0" w:color="auto"/>
        <w:right w:val="none" w:sz="0" w:space="0" w:color="auto"/>
      </w:divBdr>
    </w:div>
    <w:div w:id="1807506647">
      <w:bodyDiv w:val="1"/>
      <w:marLeft w:val="0"/>
      <w:marRight w:val="0"/>
      <w:marTop w:val="0"/>
      <w:marBottom w:val="0"/>
      <w:divBdr>
        <w:top w:val="none" w:sz="0" w:space="0" w:color="auto"/>
        <w:left w:val="none" w:sz="0" w:space="0" w:color="auto"/>
        <w:bottom w:val="none" w:sz="0" w:space="0" w:color="auto"/>
        <w:right w:val="none" w:sz="0" w:space="0" w:color="auto"/>
      </w:divBdr>
    </w:div>
    <w:div w:id="1861161092">
      <w:bodyDiv w:val="1"/>
      <w:marLeft w:val="0"/>
      <w:marRight w:val="0"/>
      <w:marTop w:val="0"/>
      <w:marBottom w:val="0"/>
      <w:divBdr>
        <w:top w:val="none" w:sz="0" w:space="0" w:color="auto"/>
        <w:left w:val="none" w:sz="0" w:space="0" w:color="auto"/>
        <w:bottom w:val="none" w:sz="0" w:space="0" w:color="auto"/>
        <w:right w:val="none" w:sz="0" w:space="0" w:color="auto"/>
      </w:divBdr>
    </w:div>
    <w:div w:id="187565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06C6A-9AAF-4FBE-903A-0B6F2DC6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2015 MTEF GUIDELINES</vt:lpstr>
    </vt:vector>
  </TitlesOfParts>
  <Company>Microsoft</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MTEF GUIDELINES</dc:title>
  <dc:subject/>
  <dc:creator>Michael Sachs</dc:creator>
  <cp:keywords/>
  <dc:description/>
  <cp:lastModifiedBy>Donald Maphiri</cp:lastModifiedBy>
  <cp:revision>5</cp:revision>
  <cp:lastPrinted>2017-05-25T13:52:00Z</cp:lastPrinted>
  <dcterms:created xsi:type="dcterms:W3CDTF">2020-10-22T18:56:00Z</dcterms:created>
  <dcterms:modified xsi:type="dcterms:W3CDTF">2020-10-22T19:13:00Z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iteId">
    <vt:lpwstr>1a45348f-02b4-4f9a-a7a8-7786f6dd3245</vt:lpwstr>
  </property>
  <property fmtid="{D5CDD505-2E9C-101B-9397-08002B2CF9AE}" pid="4" name="MSIP_Label_93c4247e-447d-4732-af29-2e529a4288f1_Owner">
    <vt:lpwstr>Jonathan.Benjamin@Treasury.gov.za</vt:lpwstr>
  </property>
  <property fmtid="{D5CDD505-2E9C-101B-9397-08002B2CF9AE}" pid="5" name="MSIP_Label_93c4247e-447d-4732-af29-2e529a4288f1_SetDate">
    <vt:lpwstr>2020-07-18T13:03:19.3505171Z</vt:lpwstr>
  </property>
  <property fmtid="{D5CDD505-2E9C-101B-9397-08002B2CF9AE}" pid="6" name="MSIP_Label_93c4247e-447d-4732-af29-2e529a4288f1_Name">
    <vt:lpwstr>Personal</vt:lpwstr>
  </property>
  <property fmtid="{D5CDD505-2E9C-101B-9397-08002B2CF9AE}" pid="7" name="MSIP_Label_93c4247e-447d-4732-af29-2e529a4288f1_Application">
    <vt:lpwstr>Microsoft Azure Information Protection</vt:lpwstr>
  </property>
  <property fmtid="{D5CDD505-2E9C-101B-9397-08002B2CF9AE}" pid="8" name="MSIP_Label_93c4247e-447d-4732-af29-2e529a4288f1_ActionId">
    <vt:lpwstr>f1052290-9361-40f2-8958-5f2dc20577db</vt:lpwstr>
  </property>
  <property fmtid="{D5CDD505-2E9C-101B-9397-08002B2CF9AE}" pid="9" name="MSIP_Label_93c4247e-447d-4732-af29-2e529a4288f1_Extended_MSFT_Method">
    <vt:lpwstr>Automatic</vt:lpwstr>
  </property>
  <property fmtid="{D5CDD505-2E9C-101B-9397-08002B2CF9AE}" pid="10" name="Sensitivity">
    <vt:lpwstr>Personal</vt:lpwstr>
  </property>
</Properties>
</file>